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38D" w:rsidRPr="006B438D" w:rsidRDefault="006B438D" w:rsidP="006B438D">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6B438D">
        <w:rPr>
          <w:rFonts w:ascii="黑体" w:eastAsia="黑体" w:hAnsi="黑体" w:cs="宋体" w:hint="eastAsia"/>
          <w:color w:val="333333"/>
          <w:sz w:val="24"/>
          <w:szCs w:val="24"/>
        </w:rPr>
        <w:t>植物保护研究所“青年英才计划”人才招聘公告</w:t>
      </w:r>
    </w:p>
    <w:p w:rsidR="006B438D" w:rsidRDefault="006B438D" w:rsidP="00FB2173">
      <w:pPr>
        <w:shd w:val="clear" w:color="auto" w:fill="FFFFFF"/>
        <w:adjustRightInd/>
        <w:snapToGrid/>
        <w:spacing w:line="336" w:lineRule="atLeast"/>
        <w:ind w:firstLine="324"/>
        <w:rPr>
          <w:rFonts w:ascii="宋体" w:eastAsia="宋体" w:hAnsi="宋体" w:cs="宋体"/>
          <w:color w:val="1D1D1D"/>
          <w:sz w:val="17"/>
          <w:szCs w:val="17"/>
        </w:rPr>
      </w:pPr>
      <w:r w:rsidRPr="006B438D">
        <w:rPr>
          <w:rFonts w:ascii="宋体" w:eastAsia="宋体" w:hAnsi="宋体" w:cs="宋体" w:hint="eastAsia"/>
          <w:color w:val="1D1D1D"/>
          <w:sz w:val="17"/>
          <w:szCs w:val="17"/>
        </w:rPr>
        <w:t>中国农业科学院</w:t>
      </w:r>
      <w:hyperlink r:id="rId6" w:tgtFrame="_blank" w:history="1">
        <w:r w:rsidRPr="006B438D">
          <w:rPr>
            <w:rFonts w:ascii="宋体" w:eastAsia="宋体" w:hAnsi="宋体" w:cs="宋体" w:hint="eastAsia"/>
            <w:color w:val="0000FF"/>
            <w:sz w:val="17"/>
            <w:szCs w:val="17"/>
          </w:rPr>
          <w:t>植物保护研究所</w:t>
        </w:r>
      </w:hyperlink>
      <w:r w:rsidRPr="006B438D">
        <w:rPr>
          <w:rFonts w:ascii="宋体" w:eastAsia="宋体" w:hAnsi="宋体" w:cs="宋体" w:hint="eastAsia"/>
          <w:color w:val="1D1D1D"/>
          <w:sz w:val="17"/>
          <w:szCs w:val="17"/>
        </w:rPr>
        <w:t>创建于1957年8月，是以华北农业科学研究所植物病虫害系和农药系为基础、首批成立的中国农业科学院五个直属专业研究所之一，是专业从事农作物有害生物研究与防治的社会公益性国家级科学研究机构，着力研究和解决农业生产中植物保护的重大基础理论、应用基础和应用技术问题，促进科技成果转化，开展国际植物保护科学技术的合作与交流，为农业生产、粮食安全、食品安全和生态安全提供科技支撑。现设植物病害、农业昆虫、农药、生物防治、植保生物技术、生物入侵、杂草鼠害与草地植保等7个研究室。拥有一支以院士为龙头、高级科技人员为主体的专家队伍。长期以来主持和承担973项目、863项目、国家自然科学基金重大项目、国家科技支撑计划项目等国家级重大科技任务，并取得显著成绩，成为首批进入</w:t>
      </w:r>
      <w:hyperlink r:id="rId7" w:tgtFrame="_blank" w:history="1">
        <w:r w:rsidRPr="006B438D">
          <w:rPr>
            <w:rFonts w:ascii="宋体" w:eastAsia="宋体" w:hAnsi="宋体" w:cs="宋体" w:hint="eastAsia"/>
            <w:color w:val="0000FF"/>
            <w:sz w:val="17"/>
            <w:szCs w:val="17"/>
          </w:rPr>
          <w:t>中国农业科学院科技创新工程</w:t>
        </w:r>
      </w:hyperlink>
      <w:r w:rsidRPr="006B438D">
        <w:rPr>
          <w:rFonts w:ascii="宋体" w:eastAsia="宋体" w:hAnsi="宋体" w:cs="宋体" w:hint="eastAsia"/>
          <w:color w:val="1D1D1D"/>
          <w:sz w:val="17"/>
          <w:szCs w:val="17"/>
        </w:rPr>
        <w:t>的试点研究所。</w:t>
      </w:r>
      <w:r w:rsidRPr="006B438D">
        <w:rPr>
          <w:rFonts w:ascii="宋体" w:eastAsia="宋体" w:hAnsi="宋体" w:cs="宋体" w:hint="eastAsia"/>
          <w:color w:val="1D1D1D"/>
          <w:sz w:val="17"/>
          <w:szCs w:val="17"/>
        </w:rPr>
        <w:br/>
        <w:t xml:space="preserve">　　为了加快建设世界一流科研院所，根据“</w:t>
      </w:r>
      <w:hyperlink r:id="rId8" w:tgtFrame="_blank" w:history="1">
        <w:r w:rsidRPr="006B438D">
          <w:rPr>
            <w:rFonts w:ascii="宋体" w:eastAsia="宋体" w:hAnsi="宋体" w:cs="宋体" w:hint="eastAsia"/>
            <w:color w:val="0000FF"/>
            <w:sz w:val="17"/>
            <w:szCs w:val="17"/>
          </w:rPr>
          <w:t>中国农业科学院科技创新工程</w:t>
        </w:r>
      </w:hyperlink>
      <w:r w:rsidRPr="006B438D">
        <w:rPr>
          <w:rFonts w:ascii="宋体" w:eastAsia="宋体" w:hAnsi="宋体" w:cs="宋体" w:hint="eastAsia"/>
          <w:color w:val="1D1D1D"/>
          <w:sz w:val="17"/>
          <w:szCs w:val="17"/>
        </w:rPr>
        <w:t>”和“青年英才计划”相关文件要求，经中国农业科学院批准，面向海内外招聘“青年英才计划”人才，现就有关事项公告如下：</w:t>
      </w:r>
      <w:r w:rsidRPr="006B438D">
        <w:rPr>
          <w:rFonts w:ascii="宋体" w:eastAsia="宋体" w:hAnsi="宋体" w:cs="宋体" w:hint="eastAsia"/>
          <w:color w:val="1D1D1D"/>
          <w:sz w:val="17"/>
          <w:szCs w:val="17"/>
        </w:rPr>
        <w:br/>
        <w:t xml:space="preserve">　　一、招聘岗位和应聘条件</w:t>
      </w:r>
    </w:p>
    <w:tbl>
      <w:tblPr>
        <w:tblW w:w="0" w:type="auto"/>
        <w:jc w:val="center"/>
        <w:tblInd w:w="96" w:type="dxa"/>
        <w:tblLook w:val="04A0"/>
      </w:tblPr>
      <w:tblGrid>
        <w:gridCol w:w="1097"/>
        <w:gridCol w:w="974"/>
        <w:gridCol w:w="520"/>
        <w:gridCol w:w="5835"/>
      </w:tblGrid>
      <w:tr w:rsidR="00FB2173" w:rsidRPr="00441671" w:rsidTr="00441671">
        <w:trPr>
          <w:trHeight w:val="86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B2173" w:rsidRPr="00441671" w:rsidRDefault="00FB2173"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岗位名称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2173" w:rsidRPr="00441671" w:rsidRDefault="00FB2173"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研究方向</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2173" w:rsidRPr="00441671" w:rsidRDefault="00FB2173"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人员类别</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2173" w:rsidRPr="00441671" w:rsidRDefault="00FB2173"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任职条件</w:t>
            </w:r>
          </w:p>
        </w:tc>
      </w:tr>
      <w:tr w:rsidR="00E87AA6" w:rsidRPr="00E87AA6" w:rsidTr="00441671">
        <w:trPr>
          <w:trHeight w:val="86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87AA6" w:rsidRPr="00DF11A5" w:rsidRDefault="00DF11A5" w:rsidP="00DF11A5">
            <w:pPr>
              <w:adjustRightInd/>
              <w:snapToGrid/>
              <w:spacing w:after="0"/>
              <w:jc w:val="center"/>
              <w:rPr>
                <w:rFonts w:asciiTheme="minorEastAsia" w:eastAsiaTheme="minorEastAsia" w:hAnsiTheme="minorEastAsia" w:cs="宋体"/>
                <w:color w:val="0000FF"/>
                <w:sz w:val="18"/>
                <w:szCs w:val="18"/>
              </w:rPr>
            </w:pPr>
            <w:r w:rsidRPr="00DF11A5">
              <w:rPr>
                <w:rFonts w:asciiTheme="minorEastAsia" w:eastAsiaTheme="minorEastAsia" w:hAnsiTheme="minorEastAsia" w:cs="宋体" w:hint="eastAsia"/>
                <w:color w:val="0000FF"/>
                <w:sz w:val="18"/>
                <w:szCs w:val="18"/>
              </w:rPr>
              <w:t>作物病原真菌致病机制</w:t>
            </w:r>
          </w:p>
        </w:tc>
        <w:tc>
          <w:tcPr>
            <w:tcW w:w="0" w:type="auto"/>
            <w:tcBorders>
              <w:top w:val="single" w:sz="4" w:space="0" w:color="auto"/>
              <w:left w:val="nil"/>
              <w:bottom w:val="single" w:sz="4" w:space="0" w:color="auto"/>
              <w:right w:val="single" w:sz="4" w:space="0" w:color="auto"/>
            </w:tcBorders>
            <w:shd w:val="clear" w:color="auto" w:fill="auto"/>
            <w:vAlign w:val="center"/>
          </w:tcPr>
          <w:p w:rsidR="00E87AA6" w:rsidRPr="00E87AA6" w:rsidRDefault="00E87AA6" w:rsidP="00FB217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作物真菌病害流行与防控</w:t>
            </w:r>
          </w:p>
        </w:tc>
        <w:tc>
          <w:tcPr>
            <w:tcW w:w="0" w:type="auto"/>
            <w:tcBorders>
              <w:top w:val="single" w:sz="4" w:space="0" w:color="auto"/>
              <w:left w:val="nil"/>
              <w:bottom w:val="single" w:sz="4" w:space="0" w:color="auto"/>
              <w:right w:val="single" w:sz="4" w:space="0" w:color="auto"/>
            </w:tcBorders>
            <w:shd w:val="clear" w:color="auto" w:fill="auto"/>
            <w:vAlign w:val="center"/>
          </w:tcPr>
          <w:p w:rsidR="00E87AA6" w:rsidRPr="00E87AA6" w:rsidRDefault="00E87AA6" w:rsidP="009B0F5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A类</w:t>
            </w:r>
          </w:p>
        </w:tc>
        <w:tc>
          <w:tcPr>
            <w:tcW w:w="0" w:type="auto"/>
            <w:tcBorders>
              <w:top w:val="single" w:sz="4" w:space="0" w:color="auto"/>
              <w:left w:val="nil"/>
              <w:bottom w:val="single" w:sz="4" w:space="0" w:color="auto"/>
              <w:right w:val="single" w:sz="4" w:space="0" w:color="auto"/>
            </w:tcBorders>
            <w:shd w:val="clear" w:color="auto" w:fill="auto"/>
            <w:vAlign w:val="center"/>
          </w:tcPr>
          <w:p w:rsidR="00E87AA6" w:rsidRPr="00E87AA6" w:rsidRDefault="00E87AA6" w:rsidP="009B0F53">
            <w:pPr>
              <w:adjustRightInd/>
              <w:snapToGrid/>
              <w:spacing w:after="0"/>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E87AA6" w:rsidRPr="00441671" w:rsidTr="00441671">
        <w:trPr>
          <w:trHeight w:val="134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植物-病毒-介体昆虫互作</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作物病毒病害流行与控制</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87AA6" w:rsidRPr="00441671" w:rsidRDefault="00E87AA6"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E87AA6" w:rsidRPr="00441671" w:rsidTr="00441671">
        <w:trPr>
          <w:trHeight w:val="982"/>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植物病原细菌致病机制</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作物细菌病害流行与控制</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E87AA6" w:rsidRPr="00441671" w:rsidTr="00441671">
        <w:trPr>
          <w:trHeight w:val="107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线虫与作物互作</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作物线虫病害流行与防控</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E87AA6" w:rsidRPr="00441671" w:rsidTr="00441671">
        <w:trPr>
          <w:trHeight w:val="126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重大迁飞害虫成灾机理与控制技术</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粮食作物害虫监测与控制</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E87AA6" w:rsidRPr="00441671" w:rsidTr="00441671">
        <w:trPr>
          <w:trHeight w:val="140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水稻害虫生物生态学与防治</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粮食作物害虫监测与控制</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35周岁以下。</w:t>
            </w:r>
          </w:p>
        </w:tc>
      </w:tr>
      <w:tr w:rsidR="00E87AA6" w:rsidRPr="00441671" w:rsidTr="00441671">
        <w:trPr>
          <w:trHeight w:val="126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lastRenderedPageBreak/>
              <w:t>小麦害虫与共生菌互作</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粮食作物害虫监测与控制</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E87AA6" w:rsidRPr="00441671" w:rsidTr="00441671">
        <w:trPr>
          <w:trHeight w:val="127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昆虫迁飞</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经济作物虫害监测与控制</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D类</w:t>
            </w:r>
          </w:p>
        </w:tc>
        <w:tc>
          <w:tcPr>
            <w:tcW w:w="0" w:type="auto"/>
            <w:tcBorders>
              <w:top w:val="nil"/>
              <w:left w:val="nil"/>
              <w:bottom w:val="single" w:sz="4" w:space="0" w:color="auto"/>
              <w:right w:val="single" w:sz="4" w:space="0" w:color="auto"/>
            </w:tcBorders>
            <w:shd w:val="clear" w:color="auto" w:fill="auto"/>
            <w:vAlign w:val="center"/>
            <w:hideMark/>
          </w:tcPr>
          <w:p w:rsidR="00E87AA6" w:rsidRPr="00441671" w:rsidRDefault="00E87AA6"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在本学科领域开展了较为系统的研究工作，并以第一作者或通讯作者在本领域重要核心刊物（IF大于3）发表过有影响的论文，或拥有重大发明专利、掌握关键技术等。身体健康，年龄原则上40周岁以下。</w:t>
            </w:r>
          </w:p>
        </w:tc>
      </w:tr>
      <w:tr w:rsidR="00E50B71" w:rsidRPr="00441671" w:rsidTr="009B0F53">
        <w:trPr>
          <w:trHeight w:val="1270"/>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E50B71" w:rsidRPr="00E50B71" w:rsidRDefault="00E50B71" w:rsidP="009B0F53">
            <w:pPr>
              <w:adjustRightInd/>
              <w:snapToGrid/>
              <w:spacing w:after="0"/>
              <w:jc w:val="center"/>
              <w:rPr>
                <w:rFonts w:asciiTheme="minorEastAsia" w:eastAsiaTheme="minorEastAsia" w:hAnsiTheme="minorEastAsia" w:cs="宋体"/>
                <w:color w:val="0000FF"/>
                <w:sz w:val="18"/>
                <w:szCs w:val="18"/>
              </w:rPr>
            </w:pPr>
            <w:r w:rsidRPr="00E50B71">
              <w:rPr>
                <w:rFonts w:asciiTheme="minorEastAsia" w:eastAsiaTheme="minorEastAsia" w:hAnsiTheme="minorEastAsia" w:cs="宋体" w:hint="eastAsia"/>
                <w:color w:val="0000FF"/>
                <w:sz w:val="18"/>
                <w:szCs w:val="18"/>
              </w:rPr>
              <w:t>作物-有害生物-天敌互作</w:t>
            </w:r>
          </w:p>
        </w:tc>
        <w:tc>
          <w:tcPr>
            <w:tcW w:w="0" w:type="auto"/>
            <w:tcBorders>
              <w:top w:val="nil"/>
              <w:left w:val="nil"/>
              <w:bottom w:val="single" w:sz="4" w:space="0" w:color="auto"/>
              <w:right w:val="single" w:sz="4" w:space="0" w:color="auto"/>
            </w:tcBorders>
            <w:shd w:val="clear" w:color="auto" w:fill="auto"/>
            <w:vAlign w:val="center"/>
          </w:tcPr>
          <w:p w:rsidR="00E50B71" w:rsidRPr="00E87AA6" w:rsidRDefault="00E50B71" w:rsidP="009B0F5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天敌昆虫保护与利用</w:t>
            </w:r>
          </w:p>
        </w:tc>
        <w:tc>
          <w:tcPr>
            <w:tcW w:w="0" w:type="auto"/>
            <w:tcBorders>
              <w:top w:val="nil"/>
              <w:left w:val="nil"/>
              <w:bottom w:val="single" w:sz="4" w:space="0" w:color="auto"/>
              <w:right w:val="single" w:sz="4" w:space="0" w:color="auto"/>
            </w:tcBorders>
            <w:shd w:val="clear" w:color="auto" w:fill="auto"/>
            <w:vAlign w:val="center"/>
          </w:tcPr>
          <w:p w:rsidR="00E50B71" w:rsidRPr="00E87AA6" w:rsidRDefault="00E50B71" w:rsidP="009B0F5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A类</w:t>
            </w:r>
          </w:p>
        </w:tc>
        <w:tc>
          <w:tcPr>
            <w:tcW w:w="0" w:type="auto"/>
            <w:tcBorders>
              <w:top w:val="nil"/>
              <w:left w:val="nil"/>
              <w:bottom w:val="single" w:sz="4" w:space="0" w:color="auto"/>
              <w:right w:val="single" w:sz="4" w:space="0" w:color="auto"/>
            </w:tcBorders>
            <w:shd w:val="clear" w:color="auto" w:fill="auto"/>
            <w:vAlign w:val="center"/>
          </w:tcPr>
          <w:p w:rsidR="00E50B71" w:rsidRPr="00E87AA6" w:rsidRDefault="00E50B71" w:rsidP="009B0F53">
            <w:pPr>
              <w:adjustRightInd/>
              <w:snapToGrid/>
              <w:spacing w:after="0"/>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E87AA6" w:rsidRPr="00441671" w:rsidTr="00441671">
        <w:trPr>
          <w:trHeight w:val="1270"/>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E87AA6" w:rsidRPr="00E87AA6" w:rsidRDefault="00E50B71" w:rsidP="00E50B71">
            <w:pPr>
              <w:adjustRightInd/>
              <w:snapToGrid/>
              <w:spacing w:after="0"/>
              <w:jc w:val="center"/>
              <w:rPr>
                <w:rFonts w:asciiTheme="minorEastAsia" w:eastAsiaTheme="minorEastAsia" w:hAnsiTheme="minorEastAsia" w:cs="宋体"/>
                <w:color w:val="0000FF"/>
                <w:sz w:val="18"/>
                <w:szCs w:val="18"/>
              </w:rPr>
            </w:pPr>
            <w:r w:rsidRPr="00E50B71">
              <w:rPr>
                <w:rFonts w:asciiTheme="minorEastAsia" w:eastAsiaTheme="minorEastAsia" w:hAnsiTheme="minorEastAsia" w:cs="宋体" w:hint="eastAsia"/>
                <w:color w:val="0000FF"/>
                <w:sz w:val="18"/>
                <w:szCs w:val="18"/>
              </w:rPr>
              <w:t>杂草</w:t>
            </w:r>
            <w:r>
              <w:rPr>
                <w:rFonts w:asciiTheme="minorEastAsia" w:eastAsiaTheme="minorEastAsia" w:hAnsiTheme="minorEastAsia" w:cs="宋体" w:hint="eastAsia"/>
                <w:color w:val="0000FF"/>
                <w:sz w:val="18"/>
                <w:szCs w:val="18"/>
              </w:rPr>
              <w:t>生物生态学与防控</w:t>
            </w:r>
          </w:p>
        </w:tc>
        <w:tc>
          <w:tcPr>
            <w:tcW w:w="0" w:type="auto"/>
            <w:tcBorders>
              <w:top w:val="nil"/>
              <w:left w:val="nil"/>
              <w:bottom w:val="single" w:sz="4" w:space="0" w:color="auto"/>
              <w:right w:val="single" w:sz="4" w:space="0" w:color="auto"/>
            </w:tcBorders>
            <w:shd w:val="clear" w:color="auto" w:fill="auto"/>
            <w:vAlign w:val="center"/>
          </w:tcPr>
          <w:p w:rsidR="00E87AA6" w:rsidRPr="00E87AA6" w:rsidRDefault="00E87AA6" w:rsidP="00FB217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农田杂草监测与防控</w:t>
            </w:r>
          </w:p>
        </w:tc>
        <w:tc>
          <w:tcPr>
            <w:tcW w:w="0" w:type="auto"/>
            <w:tcBorders>
              <w:top w:val="nil"/>
              <w:left w:val="nil"/>
              <w:bottom w:val="single" w:sz="4" w:space="0" w:color="auto"/>
              <w:right w:val="single" w:sz="4" w:space="0" w:color="auto"/>
            </w:tcBorders>
            <w:shd w:val="clear" w:color="auto" w:fill="auto"/>
            <w:vAlign w:val="center"/>
          </w:tcPr>
          <w:p w:rsidR="00E87AA6" w:rsidRPr="00E87AA6" w:rsidRDefault="00E87AA6" w:rsidP="009B0F5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A类</w:t>
            </w:r>
          </w:p>
        </w:tc>
        <w:tc>
          <w:tcPr>
            <w:tcW w:w="0" w:type="auto"/>
            <w:tcBorders>
              <w:top w:val="nil"/>
              <w:left w:val="nil"/>
              <w:bottom w:val="single" w:sz="4" w:space="0" w:color="auto"/>
              <w:right w:val="single" w:sz="4" w:space="0" w:color="auto"/>
            </w:tcBorders>
            <w:shd w:val="clear" w:color="auto" w:fill="auto"/>
            <w:vAlign w:val="center"/>
          </w:tcPr>
          <w:p w:rsidR="00E87AA6" w:rsidRPr="00E87AA6" w:rsidRDefault="00E87AA6" w:rsidP="009B0F53">
            <w:pPr>
              <w:adjustRightInd/>
              <w:snapToGrid/>
              <w:spacing w:after="0"/>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E50B71" w:rsidRPr="00441671" w:rsidTr="00441671">
        <w:trPr>
          <w:trHeight w:val="1273"/>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50B71" w:rsidRPr="00441671" w:rsidRDefault="00E50B71"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草地虫害生态学</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草地有害生物监测与控制</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3）发表过有影响的论文，或拥有重大发明专利、掌握关键技术等。身体健康，年龄原则上40周岁以下。</w:t>
            </w:r>
          </w:p>
        </w:tc>
      </w:tr>
      <w:tr w:rsidR="00E50B71" w:rsidRPr="00441671" w:rsidTr="00441671">
        <w:trPr>
          <w:trHeight w:val="99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50B71" w:rsidRPr="00441671" w:rsidRDefault="00E50B71"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草地病害分子生物学</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草地有害生物监测与控制</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3）发表过有影响的论文，或拥有重大发明专利、掌握关键技术等。身体健康，年龄原则上40周岁以下。</w:t>
            </w:r>
          </w:p>
        </w:tc>
      </w:tr>
      <w:tr w:rsidR="00E50B71" w:rsidRPr="00441671" w:rsidTr="009B0F53">
        <w:trPr>
          <w:trHeight w:val="902"/>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50B71" w:rsidRPr="00441671" w:rsidRDefault="00E50B71" w:rsidP="009B0F5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绿色农药分子设计</w:t>
            </w:r>
          </w:p>
        </w:tc>
        <w:tc>
          <w:tcPr>
            <w:tcW w:w="0" w:type="auto"/>
            <w:tcBorders>
              <w:top w:val="nil"/>
              <w:left w:val="nil"/>
              <w:bottom w:val="single" w:sz="4" w:space="0" w:color="auto"/>
              <w:right w:val="single" w:sz="4" w:space="0" w:color="auto"/>
            </w:tcBorders>
            <w:shd w:val="clear" w:color="auto" w:fill="auto"/>
            <w:vAlign w:val="center"/>
            <w:hideMark/>
          </w:tcPr>
          <w:p w:rsidR="00E50B71" w:rsidRPr="00FA539C" w:rsidRDefault="00E50B71" w:rsidP="009B0F5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农药化学与应用</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9B0F5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B类</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9B0F53">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w:t>
            </w:r>
            <w:r w:rsidR="00BE51F2" w:rsidRPr="00BE51F2">
              <w:rPr>
                <w:rFonts w:asciiTheme="minorEastAsia" w:eastAsiaTheme="minorEastAsia" w:hAnsiTheme="minorEastAsia" w:cs="宋体" w:hint="eastAsia"/>
                <w:color w:val="FF0000"/>
                <w:sz w:val="18"/>
                <w:szCs w:val="18"/>
              </w:rPr>
              <w:t>并在国内高校或科研院所担任教授（或研究员）职务。</w:t>
            </w:r>
            <w:r w:rsidRPr="00441671">
              <w:rPr>
                <w:rFonts w:asciiTheme="minorEastAsia" w:eastAsiaTheme="minorEastAsia" w:hAnsiTheme="minorEastAsia" w:cs="宋体" w:hint="eastAsia"/>
                <w:color w:val="000000"/>
                <w:sz w:val="18"/>
                <w:szCs w:val="18"/>
              </w:rPr>
              <w:t>在本学科领域开展了较为系统的研究工作，并以第一作者或通讯作者在本领域重要核心刊物（IF大于8）发表过有影响的论文，或拥有重大发明专利、掌握关键技术等。身体健康，年龄原则上40周岁以下。</w:t>
            </w:r>
          </w:p>
        </w:tc>
      </w:tr>
      <w:tr w:rsidR="00E50B71" w:rsidRPr="00441671" w:rsidTr="009B0F53">
        <w:trPr>
          <w:trHeight w:val="902"/>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E50B71" w:rsidRPr="00E50B71" w:rsidRDefault="00E50B71" w:rsidP="009B0F53">
            <w:pPr>
              <w:adjustRightInd/>
              <w:snapToGrid/>
              <w:spacing w:after="0"/>
              <w:jc w:val="center"/>
              <w:rPr>
                <w:rFonts w:asciiTheme="minorEastAsia" w:eastAsiaTheme="minorEastAsia" w:hAnsiTheme="minorEastAsia" w:cs="宋体"/>
                <w:color w:val="0000FF"/>
                <w:sz w:val="18"/>
                <w:szCs w:val="18"/>
              </w:rPr>
            </w:pPr>
            <w:r w:rsidRPr="00E50B71">
              <w:rPr>
                <w:rFonts w:asciiTheme="minorEastAsia" w:eastAsiaTheme="minorEastAsia" w:hAnsiTheme="minorEastAsia" w:cs="宋体" w:hint="eastAsia"/>
                <w:color w:val="0000FF"/>
                <w:sz w:val="18"/>
                <w:szCs w:val="18"/>
              </w:rPr>
              <w:t>新型生物杀虫剂创制与应用</w:t>
            </w:r>
          </w:p>
        </w:tc>
        <w:tc>
          <w:tcPr>
            <w:tcW w:w="0" w:type="auto"/>
            <w:tcBorders>
              <w:top w:val="nil"/>
              <w:left w:val="nil"/>
              <w:bottom w:val="single" w:sz="4" w:space="0" w:color="auto"/>
              <w:right w:val="single" w:sz="4" w:space="0" w:color="auto"/>
            </w:tcBorders>
            <w:shd w:val="clear" w:color="auto" w:fill="auto"/>
            <w:vAlign w:val="center"/>
          </w:tcPr>
          <w:p w:rsidR="00E50B71" w:rsidRPr="00E87AA6" w:rsidRDefault="00E50B71" w:rsidP="009B0F5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生物杀虫剂的创制与应用</w:t>
            </w:r>
          </w:p>
        </w:tc>
        <w:tc>
          <w:tcPr>
            <w:tcW w:w="0" w:type="auto"/>
            <w:tcBorders>
              <w:top w:val="nil"/>
              <w:left w:val="nil"/>
              <w:bottom w:val="single" w:sz="4" w:space="0" w:color="auto"/>
              <w:right w:val="single" w:sz="4" w:space="0" w:color="auto"/>
            </w:tcBorders>
            <w:shd w:val="clear" w:color="auto" w:fill="auto"/>
            <w:vAlign w:val="center"/>
          </w:tcPr>
          <w:p w:rsidR="00E50B71" w:rsidRPr="00E87AA6" w:rsidRDefault="00E50B71" w:rsidP="009B0F5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A类</w:t>
            </w:r>
          </w:p>
        </w:tc>
        <w:tc>
          <w:tcPr>
            <w:tcW w:w="0" w:type="auto"/>
            <w:tcBorders>
              <w:top w:val="nil"/>
              <w:left w:val="nil"/>
              <w:bottom w:val="single" w:sz="4" w:space="0" w:color="auto"/>
              <w:right w:val="single" w:sz="4" w:space="0" w:color="auto"/>
            </w:tcBorders>
            <w:shd w:val="clear" w:color="auto" w:fill="auto"/>
            <w:vAlign w:val="center"/>
          </w:tcPr>
          <w:p w:rsidR="00E50B71" w:rsidRPr="00E87AA6" w:rsidRDefault="00E50B71" w:rsidP="009B0F53">
            <w:pPr>
              <w:adjustRightInd/>
              <w:snapToGrid/>
              <w:spacing w:after="0"/>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E50B71" w:rsidRPr="00441671" w:rsidTr="00441671">
        <w:trPr>
          <w:trHeight w:val="137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50B71" w:rsidRPr="00441671" w:rsidRDefault="00E50B71"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蛋白质激发子受体蛋白</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生物杀菌剂的创制与应用</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E50B71" w:rsidRPr="00441671" w:rsidRDefault="00E50B71"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F71E5E" w:rsidRPr="00441671" w:rsidTr="00441671">
        <w:trPr>
          <w:trHeight w:val="1375"/>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F71E5E" w:rsidRPr="00441671" w:rsidRDefault="00F71E5E" w:rsidP="00F71E5E">
            <w:pPr>
              <w:adjustRightInd/>
              <w:snapToGrid/>
              <w:spacing w:after="0"/>
              <w:jc w:val="center"/>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FF"/>
                <w:sz w:val="18"/>
                <w:szCs w:val="18"/>
              </w:rPr>
              <w:t>新农用抗生素的生物合成调控</w:t>
            </w:r>
            <w:bookmarkStart w:id="0" w:name="_GoBack"/>
            <w:bookmarkEnd w:id="0"/>
          </w:p>
        </w:tc>
        <w:tc>
          <w:tcPr>
            <w:tcW w:w="0" w:type="auto"/>
            <w:tcBorders>
              <w:top w:val="nil"/>
              <w:left w:val="nil"/>
              <w:bottom w:val="single" w:sz="4" w:space="0" w:color="auto"/>
              <w:right w:val="single" w:sz="4" w:space="0" w:color="auto"/>
            </w:tcBorders>
            <w:shd w:val="clear" w:color="auto" w:fill="auto"/>
            <w:vAlign w:val="center"/>
          </w:tcPr>
          <w:p w:rsidR="00F71E5E" w:rsidRPr="00F71E5E" w:rsidRDefault="00F71E5E" w:rsidP="00FB2173">
            <w:pPr>
              <w:adjustRightInd/>
              <w:snapToGrid/>
              <w:spacing w:after="0"/>
              <w:jc w:val="center"/>
              <w:rPr>
                <w:rFonts w:asciiTheme="minorEastAsia" w:eastAsiaTheme="minorEastAsia" w:hAnsiTheme="minorEastAsia" w:cs="宋体"/>
                <w:color w:val="0000FF"/>
                <w:sz w:val="18"/>
                <w:szCs w:val="18"/>
              </w:rPr>
            </w:pPr>
            <w:r w:rsidRPr="00F71E5E">
              <w:rPr>
                <w:rFonts w:asciiTheme="minorEastAsia" w:eastAsiaTheme="minorEastAsia" w:hAnsiTheme="minorEastAsia" w:cs="宋体" w:hint="eastAsia"/>
                <w:color w:val="0000FF"/>
                <w:sz w:val="18"/>
                <w:szCs w:val="18"/>
              </w:rPr>
              <w:t>天然产物农药生物合成与调控机理</w:t>
            </w:r>
          </w:p>
        </w:tc>
        <w:tc>
          <w:tcPr>
            <w:tcW w:w="0" w:type="auto"/>
            <w:tcBorders>
              <w:top w:val="nil"/>
              <w:left w:val="nil"/>
              <w:bottom w:val="single" w:sz="4" w:space="0" w:color="auto"/>
              <w:right w:val="single" w:sz="4" w:space="0" w:color="auto"/>
            </w:tcBorders>
            <w:shd w:val="clear" w:color="auto" w:fill="auto"/>
            <w:vAlign w:val="center"/>
          </w:tcPr>
          <w:p w:rsidR="00F71E5E" w:rsidRPr="00E87AA6" w:rsidRDefault="00F71E5E" w:rsidP="009B0F5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A类</w:t>
            </w:r>
          </w:p>
        </w:tc>
        <w:tc>
          <w:tcPr>
            <w:tcW w:w="0" w:type="auto"/>
            <w:tcBorders>
              <w:top w:val="nil"/>
              <w:left w:val="nil"/>
              <w:bottom w:val="single" w:sz="4" w:space="0" w:color="auto"/>
              <w:right w:val="single" w:sz="4" w:space="0" w:color="auto"/>
            </w:tcBorders>
            <w:shd w:val="clear" w:color="auto" w:fill="auto"/>
            <w:vAlign w:val="center"/>
          </w:tcPr>
          <w:p w:rsidR="00F71E5E" w:rsidRPr="00E87AA6" w:rsidRDefault="00F71E5E" w:rsidP="009B0F53">
            <w:pPr>
              <w:adjustRightInd/>
              <w:snapToGrid/>
              <w:spacing w:after="0"/>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F71E5E" w:rsidRPr="00441671" w:rsidTr="00441671">
        <w:trPr>
          <w:trHeight w:val="1633"/>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1E5E" w:rsidRPr="00441671" w:rsidRDefault="00F71E5E"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lastRenderedPageBreak/>
              <w:t>入侵昆虫分子生态学</w:t>
            </w:r>
          </w:p>
        </w:tc>
        <w:tc>
          <w:tcPr>
            <w:tcW w:w="0" w:type="auto"/>
            <w:tcBorders>
              <w:top w:val="nil"/>
              <w:left w:val="nil"/>
              <w:bottom w:val="single" w:sz="4" w:space="0" w:color="auto"/>
              <w:right w:val="single" w:sz="4" w:space="0" w:color="auto"/>
            </w:tcBorders>
            <w:shd w:val="clear" w:color="auto" w:fill="auto"/>
            <w:vAlign w:val="center"/>
            <w:hideMark/>
          </w:tcPr>
          <w:p w:rsidR="00F71E5E" w:rsidRPr="00441671" w:rsidRDefault="00F71E5E"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农业入侵生物预防与监控</w:t>
            </w:r>
          </w:p>
        </w:tc>
        <w:tc>
          <w:tcPr>
            <w:tcW w:w="0" w:type="auto"/>
            <w:tcBorders>
              <w:top w:val="nil"/>
              <w:left w:val="nil"/>
              <w:bottom w:val="single" w:sz="4" w:space="0" w:color="auto"/>
              <w:right w:val="single" w:sz="4" w:space="0" w:color="auto"/>
            </w:tcBorders>
            <w:shd w:val="clear" w:color="auto" w:fill="auto"/>
            <w:vAlign w:val="center"/>
            <w:hideMark/>
          </w:tcPr>
          <w:p w:rsidR="00F71E5E" w:rsidRPr="00441671" w:rsidRDefault="00F71E5E"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F71E5E" w:rsidRPr="00441671" w:rsidRDefault="00F71E5E"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F71E5E" w:rsidRPr="00441671" w:rsidTr="00441671">
        <w:trPr>
          <w:trHeight w:val="1273"/>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1E5E" w:rsidRPr="00441671" w:rsidRDefault="00F71E5E"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入侵害虫遗传控制</w:t>
            </w:r>
          </w:p>
        </w:tc>
        <w:tc>
          <w:tcPr>
            <w:tcW w:w="0" w:type="auto"/>
            <w:tcBorders>
              <w:top w:val="nil"/>
              <w:left w:val="nil"/>
              <w:bottom w:val="single" w:sz="4" w:space="0" w:color="auto"/>
              <w:right w:val="single" w:sz="4" w:space="0" w:color="auto"/>
            </w:tcBorders>
            <w:shd w:val="clear" w:color="auto" w:fill="auto"/>
            <w:vAlign w:val="center"/>
            <w:hideMark/>
          </w:tcPr>
          <w:p w:rsidR="00F71E5E" w:rsidRPr="00441671" w:rsidRDefault="00F71E5E"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农业入侵生物预防与监控</w:t>
            </w:r>
          </w:p>
        </w:tc>
        <w:tc>
          <w:tcPr>
            <w:tcW w:w="0" w:type="auto"/>
            <w:tcBorders>
              <w:top w:val="nil"/>
              <w:left w:val="nil"/>
              <w:bottom w:val="single" w:sz="4" w:space="0" w:color="auto"/>
              <w:right w:val="single" w:sz="4" w:space="0" w:color="auto"/>
            </w:tcBorders>
            <w:shd w:val="clear" w:color="auto" w:fill="auto"/>
            <w:vAlign w:val="center"/>
            <w:hideMark/>
          </w:tcPr>
          <w:p w:rsidR="00F71E5E" w:rsidRPr="00441671" w:rsidRDefault="00F71E5E"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F71E5E" w:rsidRPr="00441671" w:rsidRDefault="00F71E5E"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F71E5E" w:rsidRPr="00441671" w:rsidTr="00441671">
        <w:trPr>
          <w:trHeight w:val="1273"/>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F71E5E" w:rsidRPr="00CC3D6E" w:rsidRDefault="00F71E5E" w:rsidP="00CC3D6E">
            <w:pPr>
              <w:adjustRightInd/>
              <w:snapToGrid/>
              <w:spacing w:after="0"/>
              <w:jc w:val="center"/>
              <w:rPr>
                <w:rFonts w:asciiTheme="minorEastAsia" w:eastAsiaTheme="minorEastAsia" w:hAnsiTheme="minorEastAsia" w:cs="宋体"/>
                <w:color w:val="0000FF"/>
                <w:sz w:val="18"/>
                <w:szCs w:val="18"/>
              </w:rPr>
            </w:pPr>
            <w:r w:rsidRPr="00CC3D6E">
              <w:rPr>
                <w:rFonts w:asciiTheme="minorEastAsia" w:eastAsiaTheme="minorEastAsia" w:hAnsiTheme="minorEastAsia" w:cs="宋体" w:hint="eastAsia"/>
                <w:color w:val="0000FF"/>
                <w:sz w:val="18"/>
                <w:szCs w:val="18"/>
              </w:rPr>
              <w:t>转基因作物生态环境影响评价</w:t>
            </w:r>
            <w:r>
              <w:rPr>
                <w:rFonts w:asciiTheme="minorEastAsia" w:eastAsiaTheme="minorEastAsia" w:hAnsiTheme="minorEastAsia" w:cs="宋体" w:hint="eastAsia"/>
                <w:color w:val="0000FF"/>
                <w:sz w:val="18"/>
                <w:szCs w:val="18"/>
              </w:rPr>
              <w:t>与</w:t>
            </w:r>
            <w:r w:rsidRPr="00CC3D6E">
              <w:rPr>
                <w:rFonts w:asciiTheme="minorEastAsia" w:eastAsiaTheme="minorEastAsia" w:hAnsiTheme="minorEastAsia" w:cs="宋体" w:hint="eastAsia"/>
                <w:color w:val="0000FF"/>
                <w:sz w:val="18"/>
                <w:szCs w:val="18"/>
              </w:rPr>
              <w:t>风险管理</w:t>
            </w:r>
          </w:p>
        </w:tc>
        <w:tc>
          <w:tcPr>
            <w:tcW w:w="0" w:type="auto"/>
            <w:tcBorders>
              <w:top w:val="nil"/>
              <w:left w:val="nil"/>
              <w:bottom w:val="single" w:sz="4" w:space="0" w:color="auto"/>
              <w:right w:val="single" w:sz="4" w:space="0" w:color="auto"/>
            </w:tcBorders>
            <w:shd w:val="clear" w:color="auto" w:fill="auto"/>
            <w:vAlign w:val="center"/>
          </w:tcPr>
          <w:p w:rsidR="00F71E5E" w:rsidRPr="00E87AA6" w:rsidRDefault="00F71E5E" w:rsidP="00FB217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转基因作物安全评价与管理</w:t>
            </w:r>
          </w:p>
        </w:tc>
        <w:tc>
          <w:tcPr>
            <w:tcW w:w="0" w:type="auto"/>
            <w:tcBorders>
              <w:top w:val="nil"/>
              <w:left w:val="nil"/>
              <w:bottom w:val="single" w:sz="4" w:space="0" w:color="auto"/>
              <w:right w:val="single" w:sz="4" w:space="0" w:color="auto"/>
            </w:tcBorders>
            <w:shd w:val="clear" w:color="auto" w:fill="auto"/>
            <w:vAlign w:val="center"/>
          </w:tcPr>
          <w:p w:rsidR="00F71E5E" w:rsidRPr="00E87AA6" w:rsidRDefault="00F71E5E" w:rsidP="009B0F53">
            <w:pPr>
              <w:adjustRightInd/>
              <w:snapToGrid/>
              <w:spacing w:after="0"/>
              <w:jc w:val="center"/>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A类</w:t>
            </w:r>
          </w:p>
        </w:tc>
        <w:tc>
          <w:tcPr>
            <w:tcW w:w="0" w:type="auto"/>
            <w:tcBorders>
              <w:top w:val="nil"/>
              <w:left w:val="nil"/>
              <w:bottom w:val="single" w:sz="4" w:space="0" w:color="auto"/>
              <w:right w:val="single" w:sz="4" w:space="0" w:color="auto"/>
            </w:tcBorders>
            <w:shd w:val="clear" w:color="auto" w:fill="auto"/>
            <w:vAlign w:val="center"/>
          </w:tcPr>
          <w:p w:rsidR="00F71E5E" w:rsidRPr="00E87AA6" w:rsidRDefault="00F71E5E" w:rsidP="009B0F53">
            <w:pPr>
              <w:adjustRightInd/>
              <w:snapToGrid/>
              <w:spacing w:after="0"/>
              <w:rPr>
                <w:rFonts w:asciiTheme="minorEastAsia" w:eastAsiaTheme="minorEastAsia" w:hAnsiTheme="minorEastAsia" w:cs="宋体"/>
                <w:color w:val="0000FF"/>
                <w:sz w:val="18"/>
                <w:szCs w:val="18"/>
              </w:rPr>
            </w:pPr>
            <w:r w:rsidRPr="00E87AA6">
              <w:rPr>
                <w:rFonts w:asciiTheme="minorEastAsia" w:eastAsiaTheme="minorEastAsia" w:hAnsiTheme="minorEastAsia" w:cs="宋体" w:hint="eastAsia"/>
                <w:color w:val="0000FF"/>
                <w:sz w:val="18"/>
                <w:szCs w:val="18"/>
              </w:rPr>
              <w:t>全职在岗工作。具有博士学位，获得博士学位后有连续3年及以上的海外科研工作经历，在本学科领域开展了较为系统的研究工作，并以第一作者或通讯作者在本领域重要核心刊物（IF大于5）发表过有影响的论文，或拥有重大发明专利、掌握关键技术等。身体健康，年龄原则上40周岁以下。</w:t>
            </w:r>
          </w:p>
        </w:tc>
      </w:tr>
      <w:tr w:rsidR="00F71E5E" w:rsidRPr="00441671" w:rsidTr="00441671">
        <w:trPr>
          <w:trHeight w:val="104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1E5E" w:rsidRPr="00441671" w:rsidRDefault="00F71E5E"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植物与病原互作</w:t>
            </w:r>
          </w:p>
        </w:tc>
        <w:tc>
          <w:tcPr>
            <w:tcW w:w="0" w:type="auto"/>
            <w:tcBorders>
              <w:top w:val="nil"/>
              <w:left w:val="nil"/>
              <w:bottom w:val="single" w:sz="4" w:space="0" w:color="auto"/>
              <w:right w:val="single" w:sz="4" w:space="0" w:color="auto"/>
            </w:tcBorders>
            <w:shd w:val="clear" w:color="auto" w:fill="auto"/>
            <w:vAlign w:val="center"/>
            <w:hideMark/>
          </w:tcPr>
          <w:p w:rsidR="00F71E5E" w:rsidRPr="00441671" w:rsidRDefault="00F71E5E"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作物有害生物功能基因组</w:t>
            </w:r>
          </w:p>
        </w:tc>
        <w:tc>
          <w:tcPr>
            <w:tcW w:w="0" w:type="auto"/>
            <w:tcBorders>
              <w:top w:val="nil"/>
              <w:left w:val="nil"/>
              <w:bottom w:val="single" w:sz="4" w:space="0" w:color="auto"/>
              <w:right w:val="single" w:sz="4" w:space="0" w:color="auto"/>
            </w:tcBorders>
            <w:shd w:val="clear" w:color="auto" w:fill="auto"/>
            <w:vAlign w:val="center"/>
            <w:hideMark/>
          </w:tcPr>
          <w:p w:rsidR="00F71E5E" w:rsidRPr="00441671" w:rsidRDefault="00F71E5E" w:rsidP="00FB2173">
            <w:pPr>
              <w:adjustRightInd/>
              <w:snapToGrid/>
              <w:spacing w:after="0"/>
              <w:jc w:val="center"/>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A类</w:t>
            </w:r>
          </w:p>
        </w:tc>
        <w:tc>
          <w:tcPr>
            <w:tcW w:w="0" w:type="auto"/>
            <w:tcBorders>
              <w:top w:val="nil"/>
              <w:left w:val="nil"/>
              <w:bottom w:val="single" w:sz="4" w:space="0" w:color="auto"/>
              <w:right w:val="single" w:sz="4" w:space="0" w:color="auto"/>
            </w:tcBorders>
            <w:shd w:val="clear" w:color="auto" w:fill="auto"/>
            <w:vAlign w:val="center"/>
            <w:hideMark/>
          </w:tcPr>
          <w:p w:rsidR="00F71E5E" w:rsidRPr="00441671" w:rsidRDefault="00F71E5E" w:rsidP="00441671">
            <w:pPr>
              <w:adjustRightInd/>
              <w:snapToGrid/>
              <w:spacing w:after="0"/>
              <w:rPr>
                <w:rFonts w:asciiTheme="minorEastAsia" w:eastAsiaTheme="minorEastAsia" w:hAnsiTheme="minorEastAsia" w:cs="宋体"/>
                <w:color w:val="000000"/>
                <w:sz w:val="18"/>
                <w:szCs w:val="18"/>
              </w:rPr>
            </w:pPr>
            <w:r w:rsidRPr="00441671">
              <w:rPr>
                <w:rFonts w:asciiTheme="minorEastAsia" w:eastAsiaTheme="minorEastAsia" w:hAnsiTheme="minorEastAsia" w:cs="宋体" w:hint="eastAsia"/>
                <w:color w:val="000000"/>
                <w:sz w:val="18"/>
                <w:szCs w:val="18"/>
              </w:rPr>
              <w:t>全职在岗工作。具有博士学位，获得博士学位后有连续3年及以上的海外科研工作经历，在本学科领域开展了较为系统的研究工作，并以第一作者或通讯作者在本领域重要核心刊物（IF大于8）发表过有影响的论文，或拥有重大发明专利、掌握关键技术等。身体健康，年龄原则上40周岁以下。</w:t>
            </w:r>
          </w:p>
        </w:tc>
      </w:tr>
    </w:tbl>
    <w:p w:rsidR="00FB2173" w:rsidRPr="006B438D" w:rsidRDefault="00FB2173" w:rsidP="00FB2173">
      <w:pPr>
        <w:shd w:val="clear" w:color="auto" w:fill="FFFFFF"/>
        <w:adjustRightInd/>
        <w:snapToGrid/>
        <w:spacing w:line="336" w:lineRule="atLeast"/>
        <w:ind w:firstLine="324"/>
        <w:rPr>
          <w:rFonts w:ascii="宋体" w:eastAsia="宋体" w:hAnsi="宋体" w:cs="宋体"/>
          <w:color w:val="1D1D1D"/>
          <w:sz w:val="17"/>
          <w:szCs w:val="17"/>
        </w:rPr>
      </w:pPr>
    </w:p>
    <w:p w:rsidR="006B438D" w:rsidRPr="006B438D" w:rsidRDefault="006B438D" w:rsidP="006B438D">
      <w:pPr>
        <w:shd w:val="clear" w:color="auto" w:fill="FFFFFF"/>
        <w:adjustRightInd/>
        <w:snapToGrid/>
        <w:spacing w:after="0" w:line="336" w:lineRule="atLeast"/>
        <w:rPr>
          <w:rFonts w:ascii="宋体" w:eastAsia="宋体" w:hAnsi="宋体" w:cs="宋体"/>
          <w:color w:val="1D1D1D"/>
          <w:sz w:val="17"/>
          <w:szCs w:val="17"/>
        </w:rPr>
      </w:pPr>
      <w:r w:rsidRPr="006B438D">
        <w:rPr>
          <w:rFonts w:ascii="宋体" w:eastAsia="宋体" w:hAnsi="宋体" w:cs="宋体" w:hint="eastAsia"/>
          <w:color w:val="1D1D1D"/>
          <w:sz w:val="17"/>
          <w:szCs w:val="17"/>
        </w:rPr>
        <w:br/>
        <w:t xml:space="preserve">　　二、聘期待遇和支持经费</w:t>
      </w:r>
      <w:r w:rsidRPr="006B438D">
        <w:rPr>
          <w:rFonts w:ascii="宋体" w:eastAsia="宋体" w:hAnsi="宋体" w:cs="宋体" w:hint="eastAsia"/>
          <w:color w:val="1D1D1D"/>
          <w:sz w:val="17"/>
          <w:szCs w:val="17"/>
        </w:rPr>
        <w:br/>
        <w:t xml:space="preserve">　　（一）研究所聘用后享受的待遇和经费支持</w:t>
      </w:r>
      <w:r w:rsidRPr="006B438D">
        <w:rPr>
          <w:rFonts w:ascii="宋体" w:eastAsia="宋体" w:hAnsi="宋体" w:cs="宋体" w:hint="eastAsia"/>
          <w:color w:val="1D1D1D"/>
          <w:sz w:val="17"/>
          <w:szCs w:val="17"/>
        </w:rPr>
        <w:br/>
        <w:t xml:space="preserve">　　1、聘用期间，研究所为聘用人员提供不少于100万元科研启动费，按照专业技术七级（副高）或以上专业技术职务提供相应工作条件，并享受在职人员的福利待遇，支持申请重大科研和国际合作项目，并在人员配置等方面给予倾斜支持。</w:t>
      </w:r>
      <w:r w:rsidRPr="006B438D">
        <w:rPr>
          <w:rFonts w:ascii="宋体" w:eastAsia="宋体" w:hAnsi="宋体" w:cs="宋体" w:hint="eastAsia"/>
          <w:color w:val="1D1D1D"/>
          <w:sz w:val="17"/>
          <w:szCs w:val="17"/>
        </w:rPr>
        <w:br/>
        <w:t xml:space="preserve">　　2、研究所按规定办理引进人才的户口调入和家属随迁工作，协助解决其配偶的工作、子女入托和上学等生活问题。</w:t>
      </w:r>
      <w:r w:rsidRPr="006B438D">
        <w:rPr>
          <w:rFonts w:ascii="宋体" w:eastAsia="宋体" w:hAnsi="宋体" w:cs="宋体" w:hint="eastAsia"/>
          <w:color w:val="1D1D1D"/>
          <w:sz w:val="17"/>
          <w:szCs w:val="17"/>
        </w:rPr>
        <w:br/>
        <w:t xml:space="preserve">　　（二）通过中国农业科学院择优支持评审后待遇和支持经费</w:t>
      </w:r>
      <w:r w:rsidRPr="006B438D">
        <w:rPr>
          <w:rFonts w:ascii="宋体" w:eastAsia="宋体" w:hAnsi="宋体" w:cs="宋体" w:hint="eastAsia"/>
          <w:color w:val="1D1D1D"/>
          <w:sz w:val="17"/>
          <w:szCs w:val="17"/>
        </w:rPr>
        <w:br/>
        <w:t xml:space="preserve">　　引进人才到岗工作满1年后，将参加中国农业科学院统一组织的择优支持评审，候选人有2次申请机会，首次申请未通过可于1年后再次申请。通过择优支持并公示无异议后，经院人才工作领导小组审定，由院颁发“青年英才计划”入选证书并提供相应支持：</w:t>
      </w:r>
      <w:r w:rsidRPr="006B438D">
        <w:rPr>
          <w:rFonts w:ascii="宋体" w:eastAsia="宋体" w:hAnsi="宋体" w:cs="宋体" w:hint="eastAsia"/>
          <w:color w:val="1D1D1D"/>
          <w:sz w:val="17"/>
          <w:szCs w:val="17"/>
        </w:rPr>
        <w:br/>
        <w:t xml:space="preserve">　　1、为A、B类入选者提供200万元科研启动费和100万元仪器设备费，为引进的“国家杰青”提供300万元科研启动费和300万元仪器设备费；对获批的“青年千人计划”人才，除了国家提供的支持条件外，再提供100万元科研启动费和200万元仪器设备费。</w:t>
      </w:r>
      <w:r w:rsidRPr="006B438D">
        <w:rPr>
          <w:rFonts w:ascii="宋体" w:eastAsia="宋体" w:hAnsi="宋体" w:cs="宋体" w:hint="eastAsia"/>
          <w:color w:val="1D1D1D"/>
          <w:sz w:val="17"/>
          <w:szCs w:val="17"/>
        </w:rPr>
        <w:br/>
        <w:t xml:space="preserve">　　2、为A、B、C类入选人才，按照100平米住房标准提供安家费补助（根据北京市上一年度商品房销售均价折算，最高不超过100万元），或优先安排购买院所自建的政策保障性住房。</w:t>
      </w:r>
      <w:r w:rsidRPr="006B438D">
        <w:rPr>
          <w:rFonts w:ascii="宋体" w:eastAsia="宋体" w:hAnsi="宋体" w:cs="宋体" w:hint="eastAsia"/>
          <w:color w:val="1D1D1D"/>
          <w:sz w:val="17"/>
          <w:szCs w:val="17"/>
        </w:rPr>
        <w:br/>
        <w:t xml:space="preserve">　　3、A、B、C类“青年英才计划”入选者在计划执行4年期间，除享受研究所该岗位正式职工的工资、福利和医疗等待遇外，可再享受10万元/年的岗位补助（引进的“国家杰青”20万元/年）。</w:t>
      </w:r>
      <w:r w:rsidRPr="006B438D">
        <w:rPr>
          <w:rFonts w:ascii="宋体" w:eastAsia="宋体" w:hAnsi="宋体" w:cs="宋体" w:hint="eastAsia"/>
          <w:color w:val="1D1D1D"/>
          <w:sz w:val="17"/>
          <w:szCs w:val="17"/>
        </w:rPr>
        <w:br/>
        <w:t xml:space="preserve">　　三、招聘程序</w:t>
      </w:r>
      <w:r w:rsidRPr="006B438D">
        <w:rPr>
          <w:rFonts w:ascii="宋体" w:eastAsia="宋体" w:hAnsi="宋体" w:cs="宋体" w:hint="eastAsia"/>
          <w:color w:val="1D1D1D"/>
          <w:sz w:val="17"/>
          <w:szCs w:val="17"/>
        </w:rPr>
        <w:br/>
        <w:t xml:space="preserve">　　（一）报名。全年受理报名。应聘人员可于公告之日起，发送报名材料（详见第四条）到联系人电子邮箱</w:t>
      </w:r>
      <w:hyperlink r:id="rId9" w:history="1">
        <w:r w:rsidRPr="006B438D">
          <w:rPr>
            <w:rFonts w:ascii="宋体" w:eastAsia="宋体" w:hAnsi="宋体" w:cs="宋体" w:hint="eastAsia"/>
            <w:color w:val="0000FF"/>
            <w:sz w:val="17"/>
            <w:szCs w:val="17"/>
          </w:rPr>
          <w:t>guojianying@caas.cn</w:t>
        </w:r>
      </w:hyperlink>
      <w:r w:rsidRPr="006B438D">
        <w:rPr>
          <w:rFonts w:ascii="宋体" w:eastAsia="宋体" w:hAnsi="宋体" w:cs="宋体" w:hint="eastAsia"/>
          <w:color w:val="1D1D1D"/>
          <w:sz w:val="17"/>
          <w:szCs w:val="17"/>
        </w:rPr>
        <w:t>，或邮寄报名材料至中国农业科学院</w:t>
      </w:r>
      <w:hyperlink r:id="rId10" w:tgtFrame="_blank" w:history="1">
        <w:r w:rsidRPr="006B438D">
          <w:rPr>
            <w:rFonts w:ascii="宋体" w:eastAsia="宋体" w:hAnsi="宋体" w:cs="宋体" w:hint="eastAsia"/>
            <w:color w:val="0000FF"/>
            <w:sz w:val="17"/>
            <w:szCs w:val="17"/>
          </w:rPr>
          <w:t>植物保护研究所</w:t>
        </w:r>
      </w:hyperlink>
      <w:r w:rsidRPr="006B438D">
        <w:rPr>
          <w:rFonts w:ascii="宋体" w:eastAsia="宋体" w:hAnsi="宋体" w:cs="宋体" w:hint="eastAsia"/>
          <w:color w:val="1D1D1D"/>
          <w:sz w:val="17"/>
          <w:szCs w:val="17"/>
        </w:rPr>
        <w:t>人事处（邮寄地址详见第五条），原</w:t>
      </w:r>
      <w:r w:rsidRPr="006B438D">
        <w:rPr>
          <w:rFonts w:ascii="宋体" w:eastAsia="宋体" w:hAnsi="宋体" w:cs="宋体" w:hint="eastAsia"/>
          <w:color w:val="1D1D1D"/>
          <w:sz w:val="17"/>
          <w:szCs w:val="17"/>
        </w:rPr>
        <w:lastRenderedPageBreak/>
        <w:t>件于面试时复核。</w:t>
      </w:r>
      <w:r w:rsidRPr="006B438D">
        <w:rPr>
          <w:rFonts w:ascii="宋体" w:eastAsia="宋体" w:hAnsi="宋体" w:cs="宋体" w:hint="eastAsia"/>
          <w:color w:val="1D1D1D"/>
          <w:sz w:val="17"/>
          <w:szCs w:val="17"/>
        </w:rPr>
        <w:br/>
        <w:t xml:space="preserve">　　（二）资格审查。我所根据招聘岗位所需条件对报名人员进行资格审查，确定面试人选，并通过电子邮件或电话通知。</w:t>
      </w:r>
      <w:r w:rsidRPr="006B438D">
        <w:rPr>
          <w:rFonts w:ascii="宋体" w:eastAsia="宋体" w:hAnsi="宋体" w:cs="宋体" w:hint="eastAsia"/>
          <w:color w:val="1D1D1D"/>
          <w:sz w:val="17"/>
          <w:szCs w:val="17"/>
        </w:rPr>
        <w:br/>
        <w:t xml:space="preserve">　　（三）组织考核。研究所成立由9-11名所内外相关领域专家组成的青年英才引进评审委员会，对应聘人员进行面试考核，择优确定拟聘用人选，并在三级甲等医院进行体检，将拟聘用人选提交所务会议审批。</w:t>
      </w:r>
      <w:r w:rsidRPr="006B438D">
        <w:rPr>
          <w:rFonts w:ascii="宋体" w:eastAsia="宋体" w:hAnsi="宋体" w:cs="宋体" w:hint="eastAsia"/>
          <w:color w:val="1D1D1D"/>
          <w:sz w:val="17"/>
          <w:szCs w:val="17"/>
        </w:rPr>
        <w:br/>
        <w:t xml:space="preserve">　　（四）确定名单。所务会议讨论确定拟聘人才名单，并公示。</w:t>
      </w:r>
      <w:r w:rsidRPr="006B438D">
        <w:rPr>
          <w:rFonts w:ascii="宋体" w:eastAsia="宋体" w:hAnsi="宋体" w:cs="宋体" w:hint="eastAsia"/>
          <w:color w:val="1D1D1D"/>
          <w:sz w:val="17"/>
          <w:szCs w:val="17"/>
        </w:rPr>
        <w:br/>
        <w:t xml:space="preserve">　　（五）报院备案。公示期满，对拟聘人员没有异议或反映有问题经查实不影响聘用的，报中国农业科学院备案审核。</w:t>
      </w:r>
      <w:r w:rsidRPr="006B438D">
        <w:rPr>
          <w:rFonts w:ascii="宋体" w:eastAsia="宋体" w:hAnsi="宋体" w:cs="宋体" w:hint="eastAsia"/>
          <w:color w:val="1D1D1D"/>
          <w:sz w:val="17"/>
          <w:szCs w:val="17"/>
        </w:rPr>
        <w:br/>
        <w:t xml:space="preserve">　　（六）签订协议。通过备案审核后，研究所与“青年英才计划”候选人签订《中国农业科学院“青年英才计划”管理协议》，明确双方的责任和义务。</w:t>
      </w:r>
      <w:r w:rsidRPr="006B438D">
        <w:rPr>
          <w:rFonts w:ascii="宋体" w:eastAsia="宋体" w:hAnsi="宋体" w:cs="宋体" w:hint="eastAsia"/>
          <w:color w:val="1D1D1D"/>
          <w:sz w:val="17"/>
          <w:szCs w:val="17"/>
        </w:rPr>
        <w:br/>
        <w:t xml:space="preserve">　　（七）择优评审。已备案并签订协议的候选人应在到岗工作1年后参加中国农业科学院统一组织的择优支持评审，并填报《中国农业科学院“青年英才计划”择优支持申请表》。</w:t>
      </w:r>
      <w:r w:rsidRPr="006B438D">
        <w:rPr>
          <w:rFonts w:ascii="宋体" w:eastAsia="宋体" w:hAnsi="宋体" w:cs="宋体" w:hint="eastAsia"/>
          <w:color w:val="1D1D1D"/>
          <w:sz w:val="17"/>
          <w:szCs w:val="17"/>
        </w:rPr>
        <w:br/>
        <w:t xml:space="preserve">　　（八）确定入选。通过择优支持评审并公示无异议后，报院人才工作领导小组审定，院向审定通过者颁发“青年英才计划”入选证书并提供相应支持。</w:t>
      </w:r>
      <w:r w:rsidRPr="006B438D">
        <w:rPr>
          <w:rFonts w:ascii="宋体" w:eastAsia="宋体" w:hAnsi="宋体" w:cs="宋体" w:hint="eastAsia"/>
          <w:color w:val="1D1D1D"/>
          <w:sz w:val="17"/>
          <w:szCs w:val="17"/>
        </w:rPr>
        <w:br/>
        <w:t xml:space="preserve">　　四、应聘材料</w:t>
      </w:r>
      <w:r w:rsidRPr="006B438D">
        <w:rPr>
          <w:rFonts w:ascii="宋体" w:eastAsia="宋体" w:hAnsi="宋体" w:cs="宋体" w:hint="eastAsia"/>
          <w:color w:val="1D1D1D"/>
          <w:sz w:val="17"/>
          <w:szCs w:val="17"/>
        </w:rPr>
        <w:br/>
        <w:t xml:space="preserve">　　1、个人简历及《中国农业科学院“青年英才计划”申请表》（需本人亲笔签名并承诺对材料的真实性负责）。表中须粘贴电子版近期正面免冠照片。提交的材料务必详尽、真实。</w:t>
      </w:r>
      <w:r w:rsidRPr="006B438D">
        <w:rPr>
          <w:rFonts w:ascii="宋体" w:eastAsia="宋体" w:hAnsi="宋体" w:cs="宋体" w:hint="eastAsia"/>
          <w:color w:val="1D1D1D"/>
          <w:sz w:val="17"/>
          <w:szCs w:val="17"/>
        </w:rPr>
        <w:br/>
        <w:t xml:space="preserve">　　2、身份证明(身份证、护照)、学历(学位)证书、职称、资质证明(证书)、在原单位担任重要岗位职务的证明和其他有关工作经历、资历的证明材料复印件或扫描件；面试时需带原件。</w:t>
      </w:r>
      <w:r w:rsidRPr="006B438D">
        <w:rPr>
          <w:rFonts w:ascii="宋体" w:eastAsia="宋体" w:hAnsi="宋体" w:cs="宋体" w:hint="eastAsia"/>
          <w:color w:val="1D1D1D"/>
          <w:sz w:val="17"/>
          <w:szCs w:val="17"/>
        </w:rPr>
        <w:br/>
        <w:t xml:space="preserve">　　3、主持完成的研究项目情况；重要获奖情况证明；专利等知识产权证书及所属权证明；论文、著作目录，公开发表的代表性论文、论著及被收录、引用情况；反映应聘人员能力和业绩的其他相关证明材料的复印件或扫描件。</w:t>
      </w:r>
      <w:r w:rsidRPr="006B438D">
        <w:rPr>
          <w:rFonts w:ascii="宋体" w:eastAsia="宋体" w:hAnsi="宋体" w:cs="宋体" w:hint="eastAsia"/>
          <w:color w:val="1D1D1D"/>
          <w:sz w:val="17"/>
          <w:szCs w:val="17"/>
        </w:rPr>
        <w:br/>
        <w:t xml:space="preserve">　　4、至少两封国内外相关领域专家推荐信原件或扫描件，其中A类候选人必须有一封国外相关领域专家的推荐信。</w:t>
      </w:r>
      <w:r w:rsidRPr="006B438D">
        <w:rPr>
          <w:rFonts w:ascii="宋体" w:eastAsia="宋体" w:hAnsi="宋体" w:cs="宋体" w:hint="eastAsia"/>
          <w:color w:val="1D1D1D"/>
          <w:sz w:val="17"/>
          <w:szCs w:val="17"/>
        </w:rPr>
        <w:br/>
        <w:t xml:space="preserve">　　5、3～5名可供咨询的学者名单。</w:t>
      </w:r>
      <w:r w:rsidRPr="006B438D">
        <w:rPr>
          <w:rFonts w:ascii="宋体" w:eastAsia="宋体" w:hAnsi="宋体" w:cs="宋体" w:hint="eastAsia"/>
          <w:color w:val="1D1D1D"/>
          <w:sz w:val="17"/>
          <w:szCs w:val="17"/>
        </w:rPr>
        <w:br/>
        <w:t xml:space="preserve">　　五、联系方式</w:t>
      </w:r>
      <w:r w:rsidRPr="006B438D">
        <w:rPr>
          <w:rFonts w:ascii="宋体" w:eastAsia="宋体" w:hAnsi="宋体" w:cs="宋体" w:hint="eastAsia"/>
          <w:color w:val="1D1D1D"/>
          <w:sz w:val="17"/>
          <w:szCs w:val="17"/>
        </w:rPr>
        <w:br/>
        <w:t xml:space="preserve">　　联系人：郭建英</w:t>
      </w:r>
      <w:r w:rsidRPr="006B438D">
        <w:rPr>
          <w:rFonts w:ascii="宋体" w:eastAsia="宋体" w:hAnsi="宋体" w:cs="宋体" w:hint="eastAsia"/>
          <w:color w:val="1D1D1D"/>
          <w:sz w:val="17"/>
          <w:szCs w:val="17"/>
        </w:rPr>
        <w:br/>
        <w:t xml:space="preserve">　　联系电话：010-62815910</w:t>
      </w:r>
      <w:r w:rsidRPr="006B438D">
        <w:rPr>
          <w:rFonts w:ascii="宋体" w:eastAsia="宋体" w:hAnsi="宋体" w:cs="宋体" w:hint="eastAsia"/>
          <w:color w:val="1D1D1D"/>
          <w:sz w:val="17"/>
          <w:szCs w:val="17"/>
        </w:rPr>
        <w:br/>
        <w:t xml:space="preserve">　　电子邮箱：</w:t>
      </w:r>
      <w:hyperlink r:id="rId11" w:history="1">
        <w:r w:rsidRPr="006B438D">
          <w:rPr>
            <w:rFonts w:ascii="宋体" w:eastAsia="宋体" w:hAnsi="宋体" w:cs="宋体" w:hint="eastAsia"/>
            <w:color w:val="0000FF"/>
            <w:sz w:val="17"/>
            <w:szCs w:val="17"/>
          </w:rPr>
          <w:t>guojianying@caas.cn</w:t>
        </w:r>
      </w:hyperlink>
      <w:r w:rsidRPr="006B438D">
        <w:rPr>
          <w:rFonts w:ascii="宋体" w:eastAsia="宋体" w:hAnsi="宋体" w:cs="宋体" w:hint="eastAsia"/>
          <w:color w:val="1D1D1D"/>
          <w:sz w:val="17"/>
          <w:szCs w:val="17"/>
        </w:rPr>
        <w:br/>
        <w:t xml:space="preserve">　　邮寄地址：北京市海淀区圆明园西路2号中国农业科学院</w:t>
      </w:r>
      <w:hyperlink r:id="rId12" w:tgtFrame="_blank" w:history="1">
        <w:r w:rsidRPr="006B438D">
          <w:rPr>
            <w:rFonts w:ascii="宋体" w:eastAsia="宋体" w:hAnsi="宋体" w:cs="宋体" w:hint="eastAsia"/>
            <w:color w:val="0000FF"/>
            <w:sz w:val="17"/>
            <w:szCs w:val="17"/>
          </w:rPr>
          <w:t>植物保护研究所</w:t>
        </w:r>
      </w:hyperlink>
      <w:r w:rsidRPr="006B438D">
        <w:rPr>
          <w:rFonts w:ascii="宋体" w:eastAsia="宋体" w:hAnsi="宋体" w:cs="宋体" w:hint="eastAsia"/>
          <w:color w:val="1D1D1D"/>
          <w:sz w:val="17"/>
          <w:szCs w:val="17"/>
        </w:rPr>
        <w:t>人事处</w:t>
      </w:r>
      <w:r w:rsidRPr="006B438D">
        <w:rPr>
          <w:rFonts w:ascii="宋体" w:eastAsia="宋体" w:hAnsi="宋体" w:cs="宋体" w:hint="eastAsia"/>
          <w:color w:val="1D1D1D"/>
          <w:sz w:val="17"/>
          <w:szCs w:val="17"/>
        </w:rPr>
        <w:br/>
        <w:t xml:space="preserve">　　邮 编：100193</w:t>
      </w:r>
      <w:r w:rsidRPr="006B438D">
        <w:rPr>
          <w:rFonts w:ascii="宋体" w:eastAsia="宋体" w:hAnsi="宋体" w:cs="宋体" w:hint="eastAsia"/>
          <w:color w:val="1D1D1D"/>
          <w:sz w:val="17"/>
          <w:szCs w:val="17"/>
        </w:rPr>
        <w:br/>
        <w:t xml:space="preserve">　　六、其他事项</w:t>
      </w:r>
      <w:r w:rsidRPr="006B438D">
        <w:rPr>
          <w:rFonts w:ascii="宋体" w:eastAsia="宋体" w:hAnsi="宋体" w:cs="宋体" w:hint="eastAsia"/>
          <w:color w:val="1D1D1D"/>
          <w:sz w:val="17"/>
          <w:szCs w:val="17"/>
        </w:rPr>
        <w:br/>
        <w:t xml:space="preserve">　　1、请用中文详细填写有关申请材料，外文证明材料需同时提供中文翻译件。</w:t>
      </w:r>
      <w:r w:rsidRPr="006B438D">
        <w:rPr>
          <w:rFonts w:ascii="宋体" w:eastAsia="宋体" w:hAnsi="宋体" w:cs="宋体" w:hint="eastAsia"/>
          <w:color w:val="1D1D1D"/>
          <w:sz w:val="17"/>
          <w:szCs w:val="17"/>
        </w:rPr>
        <w:br/>
        <w:t xml:space="preserve">　　2、留学回国人员需提供《留学回国人员证明》或海外学历认证。</w:t>
      </w:r>
      <w:r w:rsidRPr="006B438D">
        <w:rPr>
          <w:rFonts w:ascii="宋体" w:eastAsia="宋体" w:hAnsi="宋体" w:cs="宋体" w:hint="eastAsia"/>
          <w:color w:val="1D1D1D"/>
          <w:sz w:val="17"/>
          <w:szCs w:val="17"/>
        </w:rPr>
        <w:br/>
        <w:t xml:space="preserve">　　3、应聘者要如实填写简历材料，如发现提供虚假材料或信息，或有学术不端行为，一经查实，不予录用。</w:t>
      </w:r>
      <w:r w:rsidRPr="006B438D">
        <w:rPr>
          <w:rFonts w:ascii="宋体" w:eastAsia="宋体" w:hAnsi="宋体" w:cs="宋体" w:hint="eastAsia"/>
          <w:color w:val="1D1D1D"/>
          <w:sz w:val="17"/>
          <w:szCs w:val="17"/>
        </w:rPr>
        <w:br/>
        <w:t xml:space="preserve">　　4、应聘人员可登陆我所网站（</w:t>
      </w:r>
      <w:hyperlink r:id="rId13" w:history="1">
        <w:r w:rsidRPr="006B438D">
          <w:rPr>
            <w:rFonts w:ascii="宋体" w:eastAsia="宋体" w:hAnsi="宋体" w:cs="宋体" w:hint="eastAsia"/>
            <w:color w:val="0000FF"/>
            <w:sz w:val="17"/>
            <w:szCs w:val="17"/>
          </w:rPr>
          <w:t>http://www.ippcaas.cn</w:t>
        </w:r>
      </w:hyperlink>
      <w:r w:rsidRPr="006B438D">
        <w:rPr>
          <w:rFonts w:ascii="宋体" w:eastAsia="宋体" w:hAnsi="宋体" w:cs="宋体" w:hint="eastAsia"/>
          <w:color w:val="1D1D1D"/>
          <w:sz w:val="17"/>
          <w:szCs w:val="17"/>
        </w:rPr>
        <w:t>）或拨打联系电话咨询相关招聘情况。</w:t>
      </w:r>
      <w:r w:rsidRPr="006B438D">
        <w:rPr>
          <w:rFonts w:ascii="宋体" w:eastAsia="宋体" w:hAnsi="宋体" w:cs="宋体" w:hint="eastAsia"/>
          <w:color w:val="1D1D1D"/>
          <w:sz w:val="17"/>
          <w:szCs w:val="17"/>
        </w:rPr>
        <w:br/>
        <w:t> </w:t>
      </w:r>
    </w:p>
    <w:sectPr w:rsidR="006B438D" w:rsidRPr="006B438D"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549" w:rsidRDefault="006C7549" w:rsidP="006B438D">
      <w:pPr>
        <w:spacing w:after="0"/>
      </w:pPr>
      <w:r>
        <w:separator/>
      </w:r>
    </w:p>
  </w:endnote>
  <w:endnote w:type="continuationSeparator" w:id="0">
    <w:p w:rsidR="006C7549" w:rsidRDefault="006C7549" w:rsidP="006B438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549" w:rsidRDefault="006C7549" w:rsidP="006B438D">
      <w:pPr>
        <w:spacing w:after="0"/>
      </w:pPr>
      <w:r>
        <w:separator/>
      </w:r>
    </w:p>
  </w:footnote>
  <w:footnote w:type="continuationSeparator" w:id="0">
    <w:p w:rsidR="006C7549" w:rsidRDefault="006C7549" w:rsidP="006B438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D31D50"/>
    <w:rsid w:val="000A57D1"/>
    <w:rsid w:val="001B751E"/>
    <w:rsid w:val="002E2B1B"/>
    <w:rsid w:val="00323B43"/>
    <w:rsid w:val="00333B6B"/>
    <w:rsid w:val="0035249B"/>
    <w:rsid w:val="003D37D8"/>
    <w:rsid w:val="00426133"/>
    <w:rsid w:val="004358AB"/>
    <w:rsid w:val="00441671"/>
    <w:rsid w:val="00500841"/>
    <w:rsid w:val="0068462D"/>
    <w:rsid w:val="006B438D"/>
    <w:rsid w:val="006C7549"/>
    <w:rsid w:val="00883C5A"/>
    <w:rsid w:val="008B7726"/>
    <w:rsid w:val="00917F4E"/>
    <w:rsid w:val="00B4437A"/>
    <w:rsid w:val="00BE51F2"/>
    <w:rsid w:val="00C51469"/>
    <w:rsid w:val="00CC2004"/>
    <w:rsid w:val="00CC3D6E"/>
    <w:rsid w:val="00D31D50"/>
    <w:rsid w:val="00DF11A5"/>
    <w:rsid w:val="00E50B71"/>
    <w:rsid w:val="00E87AA6"/>
    <w:rsid w:val="00EB0C2F"/>
    <w:rsid w:val="00EC2C49"/>
    <w:rsid w:val="00F37E7A"/>
    <w:rsid w:val="00F71E5E"/>
    <w:rsid w:val="00F91AAF"/>
    <w:rsid w:val="00FA539C"/>
    <w:rsid w:val="00FB21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B751E"/>
    <w:pPr>
      <w:pBdr>
        <w:bottom w:val="single" w:sz="6" w:space="1" w:color="auto"/>
      </w:pBdr>
      <w:tabs>
        <w:tab w:val="left" w:pos="400"/>
        <w:tab w:val="center" w:pos="4153"/>
        <w:tab w:val="right" w:pos="8306"/>
      </w:tabs>
    </w:pPr>
    <w:rPr>
      <w:sz w:val="18"/>
      <w:szCs w:val="18"/>
    </w:rPr>
  </w:style>
  <w:style w:type="character" w:customStyle="1" w:styleId="Char">
    <w:name w:val="页眉 Char"/>
    <w:basedOn w:val="a0"/>
    <w:link w:val="a3"/>
    <w:uiPriority w:val="99"/>
    <w:rsid w:val="001B751E"/>
    <w:rPr>
      <w:rFonts w:ascii="Tahoma" w:hAnsi="Tahoma"/>
      <w:sz w:val="18"/>
      <w:szCs w:val="18"/>
    </w:rPr>
  </w:style>
  <w:style w:type="paragraph" w:styleId="a4">
    <w:name w:val="footer"/>
    <w:basedOn w:val="a"/>
    <w:link w:val="Char0"/>
    <w:uiPriority w:val="99"/>
    <w:unhideWhenUsed/>
    <w:rsid w:val="006B438D"/>
    <w:pPr>
      <w:tabs>
        <w:tab w:val="center" w:pos="4153"/>
        <w:tab w:val="right" w:pos="8306"/>
      </w:tabs>
    </w:pPr>
    <w:rPr>
      <w:sz w:val="18"/>
      <w:szCs w:val="18"/>
    </w:rPr>
  </w:style>
  <w:style w:type="character" w:customStyle="1" w:styleId="Char0">
    <w:name w:val="页脚 Char"/>
    <w:basedOn w:val="a0"/>
    <w:link w:val="a4"/>
    <w:uiPriority w:val="99"/>
    <w:rsid w:val="006B438D"/>
    <w:rPr>
      <w:rFonts w:ascii="Tahoma" w:hAnsi="Tahoma"/>
      <w:sz w:val="18"/>
      <w:szCs w:val="18"/>
    </w:rPr>
  </w:style>
  <w:style w:type="paragraph" w:styleId="a5">
    <w:name w:val="Normal (Web)"/>
    <w:basedOn w:val="a"/>
    <w:uiPriority w:val="99"/>
    <w:unhideWhenUsed/>
    <w:rsid w:val="006B438D"/>
    <w:pPr>
      <w:adjustRightInd/>
      <w:snapToGrid/>
      <w:spacing w:before="100" w:beforeAutospacing="1" w:after="100" w:afterAutospacing="1"/>
    </w:pPr>
    <w:rPr>
      <w:rFonts w:ascii="宋体" w:eastAsia="宋体" w:hAnsi="宋体" w:cs="宋体"/>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438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6B438D"/>
    <w:rPr>
      <w:rFonts w:ascii="Tahoma" w:hAnsi="Tahoma"/>
      <w:sz w:val="18"/>
      <w:szCs w:val="18"/>
    </w:rPr>
  </w:style>
  <w:style w:type="paragraph" w:styleId="a4">
    <w:name w:val="footer"/>
    <w:basedOn w:val="a"/>
    <w:link w:val="Char0"/>
    <w:uiPriority w:val="99"/>
    <w:unhideWhenUsed/>
    <w:rsid w:val="006B438D"/>
    <w:pPr>
      <w:tabs>
        <w:tab w:val="center" w:pos="4153"/>
        <w:tab w:val="right" w:pos="8306"/>
      </w:tabs>
    </w:pPr>
    <w:rPr>
      <w:sz w:val="18"/>
      <w:szCs w:val="18"/>
    </w:rPr>
  </w:style>
  <w:style w:type="character" w:customStyle="1" w:styleId="Char0">
    <w:name w:val="页脚 Char"/>
    <w:basedOn w:val="a0"/>
    <w:link w:val="a4"/>
    <w:uiPriority w:val="99"/>
    <w:rsid w:val="006B438D"/>
    <w:rPr>
      <w:rFonts w:ascii="Tahoma" w:hAnsi="Tahoma"/>
      <w:sz w:val="18"/>
      <w:szCs w:val="18"/>
    </w:rPr>
  </w:style>
  <w:style w:type="paragraph" w:styleId="a5">
    <w:name w:val="Normal (Web)"/>
    <w:basedOn w:val="a"/>
    <w:uiPriority w:val="99"/>
    <w:unhideWhenUsed/>
    <w:rsid w:val="006B438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435637433">
      <w:bodyDiv w:val="1"/>
      <w:marLeft w:val="0"/>
      <w:marRight w:val="0"/>
      <w:marTop w:val="0"/>
      <w:marBottom w:val="0"/>
      <w:divBdr>
        <w:top w:val="none" w:sz="0" w:space="0" w:color="auto"/>
        <w:left w:val="none" w:sz="0" w:space="0" w:color="auto"/>
        <w:bottom w:val="none" w:sz="0" w:space="0" w:color="auto"/>
        <w:right w:val="none" w:sz="0" w:space="0" w:color="auto"/>
      </w:divBdr>
    </w:div>
    <w:div w:id="1829127053">
      <w:bodyDiv w:val="1"/>
      <w:marLeft w:val="0"/>
      <w:marRight w:val="0"/>
      <w:marTop w:val="0"/>
      <w:marBottom w:val="0"/>
      <w:divBdr>
        <w:top w:val="none" w:sz="0" w:space="0" w:color="auto"/>
        <w:left w:val="none" w:sz="0" w:space="0" w:color="auto"/>
        <w:bottom w:val="none" w:sz="0" w:space="0" w:color="auto"/>
        <w:right w:val="none" w:sz="0" w:space="0" w:color="auto"/>
      </w:divBdr>
      <w:divsChild>
        <w:div w:id="475071124">
          <w:marLeft w:val="0"/>
          <w:marRight w:val="0"/>
          <w:marTop w:val="0"/>
          <w:marBottom w:val="0"/>
          <w:divBdr>
            <w:top w:val="none" w:sz="0" w:space="0" w:color="auto"/>
            <w:left w:val="none" w:sz="0" w:space="0" w:color="auto"/>
            <w:bottom w:val="none" w:sz="0" w:space="0" w:color="auto"/>
            <w:right w:val="none" w:sz="0" w:space="0" w:color="auto"/>
          </w:divBdr>
          <w:divsChild>
            <w:div w:id="236281436">
              <w:marLeft w:val="0"/>
              <w:marRight w:val="0"/>
              <w:marTop w:val="0"/>
              <w:marBottom w:val="0"/>
              <w:divBdr>
                <w:top w:val="none" w:sz="0" w:space="0" w:color="auto"/>
                <w:left w:val="none" w:sz="0" w:space="0" w:color="auto"/>
                <w:bottom w:val="none" w:sz="0" w:space="0" w:color="auto"/>
                <w:right w:val="none" w:sz="0" w:space="0" w:color="auto"/>
              </w:divBdr>
              <w:divsChild>
                <w:div w:id="1964652548">
                  <w:marLeft w:val="0"/>
                  <w:marRight w:val="0"/>
                  <w:marTop w:val="0"/>
                  <w:marBottom w:val="0"/>
                  <w:divBdr>
                    <w:top w:val="none" w:sz="0" w:space="0" w:color="auto"/>
                    <w:left w:val="none" w:sz="0" w:space="0" w:color="auto"/>
                    <w:bottom w:val="none" w:sz="0" w:space="0" w:color="auto"/>
                    <w:right w:val="none" w:sz="0" w:space="0" w:color="auto"/>
                  </w:divBdr>
                  <w:divsChild>
                    <w:div w:id="1903177230">
                      <w:marLeft w:val="0"/>
                      <w:marRight w:val="0"/>
                      <w:marTop w:val="0"/>
                      <w:marBottom w:val="0"/>
                      <w:divBdr>
                        <w:top w:val="none" w:sz="0" w:space="0" w:color="auto"/>
                        <w:left w:val="none" w:sz="0" w:space="0" w:color="auto"/>
                        <w:bottom w:val="none" w:sz="0" w:space="0" w:color="auto"/>
                        <w:right w:val="none" w:sz="0" w:space="0" w:color="auto"/>
                      </w:divBdr>
                      <w:divsChild>
                        <w:div w:id="646325498">
                          <w:marLeft w:val="120"/>
                          <w:marRight w:val="0"/>
                          <w:marTop w:val="120"/>
                          <w:marBottom w:val="0"/>
                          <w:divBdr>
                            <w:top w:val="none" w:sz="0" w:space="0" w:color="auto"/>
                            <w:left w:val="none" w:sz="0" w:space="0" w:color="auto"/>
                            <w:bottom w:val="none" w:sz="0" w:space="0" w:color="auto"/>
                            <w:right w:val="none" w:sz="0" w:space="0" w:color="auto"/>
                          </w:divBdr>
                        </w:div>
                        <w:div w:id="1427770448">
                          <w:marLeft w:val="0"/>
                          <w:marRight w:val="0"/>
                          <w:marTop w:val="0"/>
                          <w:marBottom w:val="0"/>
                          <w:divBdr>
                            <w:top w:val="none" w:sz="0" w:space="0" w:color="auto"/>
                            <w:left w:val="none" w:sz="0" w:space="0" w:color="auto"/>
                            <w:bottom w:val="none" w:sz="0" w:space="0" w:color="auto"/>
                            <w:right w:val="none" w:sz="0" w:space="0" w:color="auto"/>
                          </w:divBdr>
                          <w:divsChild>
                            <w:div w:id="1617785382">
                              <w:marLeft w:val="120"/>
                              <w:marRight w:val="0"/>
                              <w:marTop w:val="0"/>
                              <w:marBottom w:val="0"/>
                              <w:divBdr>
                                <w:top w:val="none" w:sz="0" w:space="0" w:color="auto"/>
                                <w:left w:val="none" w:sz="0" w:space="0" w:color="auto"/>
                                <w:bottom w:val="none" w:sz="0" w:space="0" w:color="auto"/>
                                <w:right w:val="none" w:sz="0" w:space="0" w:color="auto"/>
                              </w:divBdr>
                              <w:divsChild>
                                <w:div w:id="5582533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s.cn/kjcxgczl/index.shtml" TargetMode="External"/><Relationship Id="rId13" Type="http://schemas.openxmlformats.org/officeDocument/2006/relationships/hyperlink" Target="http://www.ippcaas.cn" TargetMode="External"/><Relationship Id="rId3" Type="http://schemas.openxmlformats.org/officeDocument/2006/relationships/webSettings" Target="webSettings.xml"/><Relationship Id="rId7" Type="http://schemas.openxmlformats.org/officeDocument/2006/relationships/hyperlink" Target="http://www.caas.cn/kjcxgczl/index.shtml" TargetMode="External"/><Relationship Id="rId12" Type="http://schemas.openxmlformats.org/officeDocument/2006/relationships/hyperlink" Target="http://www.caas.cn/jg/yzgsw/51205.shtml" TargetMode="External"/><Relationship Id="rId1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1205.shtml" TargetMode="External"/><Relationship Id="rId11" Type="http://schemas.openxmlformats.org/officeDocument/2006/relationships/hyperlink" Target="mailto:guojianying@caas.c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caas.cn/jg/yzgsw/51205.shtml" TargetMode="External"/><Relationship Id="rId4" Type="http://schemas.openxmlformats.org/officeDocument/2006/relationships/footnotes" Target="footnotes.xml"/><Relationship Id="rId9" Type="http://schemas.openxmlformats.org/officeDocument/2006/relationships/hyperlink" Target="mailto:guojianying@caas.cn"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894</Words>
  <Characters>5100</Characters>
  <Application>Microsoft Office Word</Application>
  <DocSecurity>0</DocSecurity>
  <Lines>42</Lines>
  <Paragraphs>11</Paragraphs>
  <ScaleCrop>false</ScaleCrop>
  <Company>您的公司名</Company>
  <LinksUpToDate>false</LinksUpToDate>
  <CharactersWithSpaces>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zhangli</dc:creator>
  <cp:lastModifiedBy>zhangli</cp:lastModifiedBy>
  <cp:revision>7</cp:revision>
  <cp:lastPrinted>2015-04-23T02:59:00Z</cp:lastPrinted>
  <dcterms:created xsi:type="dcterms:W3CDTF">2015-04-17T01:53:00Z</dcterms:created>
  <dcterms:modified xsi:type="dcterms:W3CDTF">2015-04-23T07:43:00Z</dcterms:modified>
</cp:coreProperties>
</file>