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226" w:rsidRPr="00E61226" w:rsidRDefault="00E61226" w:rsidP="00E61226">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E61226">
        <w:rPr>
          <w:rFonts w:ascii="黑体" w:eastAsia="黑体" w:hAnsi="黑体" w:cs="宋体" w:hint="eastAsia"/>
          <w:color w:val="333333"/>
          <w:sz w:val="24"/>
          <w:szCs w:val="24"/>
        </w:rPr>
        <w:t>中国农业科学院特产研究所201</w:t>
      </w:r>
      <w:r w:rsidR="00EB5DE0">
        <w:rPr>
          <w:rFonts w:ascii="黑体" w:eastAsia="黑体" w:hAnsi="黑体" w:cs="宋体" w:hint="eastAsia"/>
          <w:color w:val="333333"/>
          <w:sz w:val="24"/>
          <w:szCs w:val="24"/>
        </w:rPr>
        <w:t>5</w:t>
      </w:r>
      <w:r w:rsidRPr="00E61226">
        <w:rPr>
          <w:rFonts w:ascii="黑体" w:eastAsia="黑体" w:hAnsi="黑体" w:cs="宋体" w:hint="eastAsia"/>
          <w:color w:val="333333"/>
          <w:sz w:val="24"/>
          <w:szCs w:val="24"/>
        </w:rPr>
        <w:t>年度招聘“青年英才”的公告</w:t>
      </w:r>
    </w:p>
    <w:p w:rsidR="00E61226" w:rsidRPr="00E61226" w:rsidRDefault="00E61226" w:rsidP="00E61226">
      <w:pPr>
        <w:shd w:val="clear" w:color="auto" w:fill="E9E9E9"/>
        <w:adjustRightInd/>
        <w:snapToGrid/>
        <w:spacing w:after="0" w:line="324" w:lineRule="atLeast"/>
        <w:jc w:val="center"/>
        <w:rPr>
          <w:rFonts w:ascii="宋体" w:eastAsia="宋体" w:hAnsi="宋体" w:cs="宋体"/>
          <w:color w:val="000000"/>
          <w:sz w:val="14"/>
          <w:szCs w:val="14"/>
        </w:rPr>
      </w:pPr>
      <w:r w:rsidRPr="00E61226">
        <w:rPr>
          <w:rFonts w:ascii="宋体" w:eastAsia="宋体" w:hAnsi="宋体" w:cs="宋体" w:hint="eastAsia"/>
          <w:color w:val="000000"/>
          <w:sz w:val="14"/>
          <w:szCs w:val="14"/>
        </w:rPr>
        <w:t>文章来源：人事局       作者：        点击数： 642 次     发布时间：2014-04-29     【字体：</w:t>
      </w:r>
      <w:hyperlink r:id="rId6" w:history="1">
        <w:r w:rsidRPr="00E61226">
          <w:rPr>
            <w:rFonts w:ascii="宋体" w:eastAsia="宋体" w:hAnsi="宋体" w:cs="宋体" w:hint="eastAsia"/>
            <w:color w:val="000000"/>
            <w:sz w:val="14"/>
            <w:szCs w:val="14"/>
          </w:rPr>
          <w:t>大</w:t>
        </w:r>
      </w:hyperlink>
      <w:r w:rsidRPr="00E61226">
        <w:rPr>
          <w:rFonts w:ascii="宋体" w:eastAsia="宋体" w:hAnsi="宋体" w:cs="宋体" w:hint="eastAsia"/>
          <w:color w:val="000000"/>
          <w:sz w:val="14"/>
          <w:szCs w:val="14"/>
        </w:rPr>
        <w:t xml:space="preserve"> </w:t>
      </w:r>
      <w:hyperlink r:id="rId7" w:history="1">
        <w:r w:rsidRPr="00E61226">
          <w:rPr>
            <w:rFonts w:ascii="宋体" w:eastAsia="宋体" w:hAnsi="宋体" w:cs="宋体" w:hint="eastAsia"/>
            <w:color w:val="000000"/>
            <w:sz w:val="14"/>
            <w:szCs w:val="14"/>
          </w:rPr>
          <w:t>中</w:t>
        </w:r>
      </w:hyperlink>
      <w:r w:rsidRPr="00E61226">
        <w:rPr>
          <w:rFonts w:ascii="宋体" w:eastAsia="宋体" w:hAnsi="宋体" w:cs="宋体" w:hint="eastAsia"/>
          <w:color w:val="000000"/>
          <w:sz w:val="14"/>
          <w:szCs w:val="14"/>
        </w:rPr>
        <w:t xml:space="preserve"> </w:t>
      </w:r>
      <w:hyperlink r:id="rId8" w:history="1">
        <w:r w:rsidRPr="00E61226">
          <w:rPr>
            <w:rFonts w:ascii="宋体" w:eastAsia="宋体" w:hAnsi="宋体" w:cs="宋体" w:hint="eastAsia"/>
            <w:color w:val="000000"/>
            <w:sz w:val="14"/>
            <w:szCs w:val="14"/>
          </w:rPr>
          <w:t>小</w:t>
        </w:r>
      </w:hyperlink>
      <w:r w:rsidRPr="00E61226">
        <w:rPr>
          <w:rFonts w:ascii="宋体" w:eastAsia="宋体" w:hAnsi="宋体" w:cs="宋体" w:hint="eastAsia"/>
          <w:color w:val="000000"/>
          <w:sz w:val="14"/>
          <w:szCs w:val="14"/>
        </w:rPr>
        <w:t>】</w:t>
      </w:r>
    </w:p>
    <w:p w:rsidR="00E61226" w:rsidRDefault="00E61226" w:rsidP="00EB5DE0">
      <w:pPr>
        <w:shd w:val="clear" w:color="auto" w:fill="FFFFFF"/>
        <w:adjustRightInd/>
        <w:snapToGrid/>
        <w:spacing w:line="336" w:lineRule="atLeast"/>
        <w:ind w:firstLine="324"/>
        <w:rPr>
          <w:rFonts w:ascii="宋体" w:eastAsia="宋体" w:hAnsi="宋体" w:cs="宋体" w:hint="eastAsia"/>
          <w:color w:val="1D1D1D"/>
          <w:sz w:val="17"/>
          <w:szCs w:val="17"/>
        </w:rPr>
      </w:pPr>
      <w:r w:rsidRPr="00E61226">
        <w:rPr>
          <w:rFonts w:ascii="宋体" w:eastAsia="宋体" w:hAnsi="宋体" w:cs="宋体" w:hint="eastAsia"/>
          <w:color w:val="1D1D1D"/>
          <w:sz w:val="17"/>
          <w:szCs w:val="17"/>
        </w:rPr>
        <w:t>一、单位概况</w:t>
      </w:r>
      <w:r w:rsidRPr="00E61226">
        <w:rPr>
          <w:rFonts w:ascii="宋体" w:eastAsia="宋体" w:hAnsi="宋体" w:cs="宋体" w:hint="eastAsia"/>
          <w:color w:val="1D1D1D"/>
          <w:sz w:val="17"/>
          <w:szCs w:val="17"/>
        </w:rPr>
        <w:br/>
        <w:t xml:space="preserve">　　中国农业科学院</w:t>
      </w:r>
      <w:hyperlink r:id="rId9" w:tgtFrame="_blank" w:history="1">
        <w:r w:rsidRPr="00E61226">
          <w:rPr>
            <w:rFonts w:ascii="宋体" w:eastAsia="宋体" w:hAnsi="宋体" w:cs="宋体" w:hint="eastAsia"/>
            <w:color w:val="0000FF"/>
            <w:sz w:val="17"/>
            <w:szCs w:val="17"/>
          </w:rPr>
          <w:t>特产研究所</w:t>
        </w:r>
      </w:hyperlink>
      <w:r w:rsidRPr="00E61226">
        <w:rPr>
          <w:rFonts w:ascii="宋体" w:eastAsia="宋体" w:hAnsi="宋体" w:cs="宋体" w:hint="eastAsia"/>
          <w:color w:val="1D1D1D"/>
          <w:sz w:val="17"/>
          <w:szCs w:val="17"/>
        </w:rPr>
        <w:t>建于1956年。经过近60年的发展，中国农业科学院</w:t>
      </w:r>
      <w:hyperlink r:id="rId10" w:tgtFrame="_blank" w:history="1">
        <w:r w:rsidRPr="00E61226">
          <w:rPr>
            <w:rFonts w:ascii="宋体" w:eastAsia="宋体" w:hAnsi="宋体" w:cs="宋体" w:hint="eastAsia"/>
            <w:color w:val="0000FF"/>
            <w:sz w:val="17"/>
            <w:szCs w:val="17"/>
          </w:rPr>
          <w:t>特产研究所</w:t>
        </w:r>
      </w:hyperlink>
      <w:r w:rsidRPr="00E61226">
        <w:rPr>
          <w:rFonts w:ascii="宋体" w:eastAsia="宋体" w:hAnsi="宋体" w:cs="宋体" w:hint="eastAsia"/>
          <w:color w:val="1D1D1D"/>
          <w:sz w:val="17"/>
          <w:szCs w:val="17"/>
        </w:rPr>
        <w:t>形成了学科专业设置比较齐全，科技力量雄厚，基础设施条件基本完善的国家特种经济动植物科学研究、信息交流、技术服务中心。全所设有9个研究室（其中包含1个省部共建国家重点实验室）、6个职能处室、3个支柱产业、长白山野外观测试验站、农业部特种经济动植物及产品质量监督检验测试中心。拥有各种大型仪器312台件，图书馆藏书上8万余册，出板《特产研究》和《特种经济动植物》2个全国性学术期刊，是中国农学会特产学会，吉林省特产学会的挂靠单位。现有博士生导师8人、硕士生导师31人。承担“特种经济动物饲养”“药用植物资源学”“预防兽医”“果树学”博士研究生、“野生动植物保护与利用”硕士研究生培养工作。</w:t>
      </w:r>
      <w:r w:rsidRPr="00E61226">
        <w:rPr>
          <w:rFonts w:ascii="宋体" w:eastAsia="宋体" w:hAnsi="宋体" w:cs="宋体" w:hint="eastAsia"/>
          <w:color w:val="1D1D1D"/>
          <w:sz w:val="17"/>
          <w:szCs w:val="17"/>
        </w:rPr>
        <w:br/>
        <w:t xml:space="preserve">　　二、招聘</w:t>
      </w:r>
      <w:r w:rsidR="00EB5DE0">
        <w:rPr>
          <w:rFonts w:ascii="宋体" w:eastAsia="宋体" w:hAnsi="宋体" w:cs="宋体" w:hint="eastAsia"/>
          <w:color w:val="1D1D1D"/>
          <w:sz w:val="17"/>
          <w:szCs w:val="17"/>
        </w:rPr>
        <w:t>岗位及条件</w:t>
      </w:r>
    </w:p>
    <w:p w:rsidR="00EB5DE0" w:rsidRDefault="00EB5DE0" w:rsidP="00EB5DE0">
      <w:pPr>
        <w:shd w:val="clear" w:color="auto" w:fill="FFFFFF"/>
        <w:adjustRightInd/>
        <w:snapToGrid/>
        <w:spacing w:line="200" w:lineRule="exact"/>
        <w:ind w:firstLineChars="197" w:firstLine="335"/>
        <w:rPr>
          <w:rFonts w:ascii="宋体" w:eastAsia="宋体" w:hAnsi="宋体" w:cs="宋体" w:hint="eastAsia"/>
          <w:color w:val="1D1D1D"/>
          <w:sz w:val="17"/>
          <w:szCs w:val="17"/>
        </w:rPr>
      </w:pPr>
      <w:r>
        <w:rPr>
          <w:rFonts w:ascii="宋体" w:eastAsia="宋体" w:hAnsi="宋体" w:cs="宋体" w:hint="eastAsia"/>
          <w:color w:val="1D1D1D"/>
          <w:sz w:val="17"/>
          <w:szCs w:val="17"/>
        </w:rPr>
        <w:t>应聘人员须符合《中国农业科学院“青年英才计划”管理办法》入选基本条件。</w:t>
      </w:r>
      <w:r w:rsidRPr="00160573">
        <w:rPr>
          <w:rFonts w:asciiTheme="minorEastAsia" w:eastAsiaTheme="minorEastAsia" w:hAnsiTheme="minorEastAsia" w:hint="eastAsia"/>
          <w:sz w:val="18"/>
          <w:szCs w:val="18"/>
        </w:rPr>
        <w:t>全职在岗工作。年龄一般不超过</w:t>
      </w:r>
      <w:r w:rsidRPr="00160573">
        <w:rPr>
          <w:rFonts w:asciiTheme="minorEastAsia" w:eastAsiaTheme="minorEastAsia" w:hAnsiTheme="minorEastAsia"/>
          <w:sz w:val="18"/>
          <w:szCs w:val="18"/>
        </w:rPr>
        <w:t>40</w:t>
      </w:r>
      <w:r w:rsidRPr="00160573">
        <w:rPr>
          <w:rFonts w:asciiTheme="minorEastAsia" w:eastAsiaTheme="minorEastAsia" w:hAnsiTheme="minorEastAsia" w:hint="eastAsia"/>
          <w:sz w:val="18"/>
          <w:szCs w:val="18"/>
        </w:rPr>
        <w:t>周岁（国家杰出青年基金获得者年龄不超过</w:t>
      </w:r>
      <w:r w:rsidRPr="00160573">
        <w:rPr>
          <w:rFonts w:asciiTheme="minorEastAsia" w:eastAsiaTheme="minorEastAsia" w:hAnsiTheme="minorEastAsia"/>
          <w:sz w:val="18"/>
          <w:szCs w:val="18"/>
        </w:rPr>
        <w:t>45</w:t>
      </w:r>
      <w:r w:rsidRPr="00160573">
        <w:rPr>
          <w:rFonts w:asciiTheme="minorEastAsia" w:eastAsiaTheme="minorEastAsia" w:hAnsiTheme="minorEastAsia" w:hint="eastAsia"/>
          <w:sz w:val="18"/>
          <w:szCs w:val="18"/>
        </w:rPr>
        <w:t>周岁），身体健康。 A类候选人</w:t>
      </w:r>
      <w:r>
        <w:rPr>
          <w:rFonts w:asciiTheme="minorEastAsia" w:eastAsiaTheme="minorEastAsia" w:hAnsiTheme="minorEastAsia" w:hint="eastAsia"/>
          <w:sz w:val="18"/>
          <w:szCs w:val="18"/>
        </w:rPr>
        <w:t>应在</w:t>
      </w:r>
      <w:r w:rsidRPr="00160573">
        <w:rPr>
          <w:rFonts w:asciiTheme="minorEastAsia" w:eastAsiaTheme="minorEastAsia" w:hAnsiTheme="minorEastAsia" w:hint="eastAsia"/>
          <w:sz w:val="18"/>
          <w:szCs w:val="18"/>
        </w:rPr>
        <w:t>获得博士学位后有连续</w:t>
      </w:r>
      <w:r w:rsidRPr="00160573">
        <w:rPr>
          <w:rFonts w:asciiTheme="minorEastAsia" w:eastAsiaTheme="minorEastAsia" w:hAnsiTheme="minorEastAsia"/>
          <w:sz w:val="18"/>
          <w:szCs w:val="18"/>
        </w:rPr>
        <w:t>3</w:t>
      </w:r>
      <w:r w:rsidRPr="00160573">
        <w:rPr>
          <w:rFonts w:asciiTheme="minorEastAsia" w:eastAsiaTheme="minorEastAsia" w:hAnsiTheme="minorEastAsia" w:hint="eastAsia"/>
          <w:sz w:val="18"/>
          <w:szCs w:val="18"/>
        </w:rPr>
        <w:t>年以上的海外相关领域科研工作经历。B类候选人应具有博士学位，并在国内高校或科研院所担任教授（或研究员）职务。</w:t>
      </w:r>
    </w:p>
    <w:tbl>
      <w:tblPr>
        <w:tblW w:w="0" w:type="auto"/>
        <w:tblInd w:w="96" w:type="dxa"/>
        <w:tblLook w:val="04A0"/>
      </w:tblPr>
      <w:tblGrid>
        <w:gridCol w:w="925"/>
        <w:gridCol w:w="799"/>
        <w:gridCol w:w="536"/>
        <w:gridCol w:w="6166"/>
      </w:tblGrid>
      <w:tr w:rsidR="00EB5DE0" w:rsidRPr="00EB5DE0" w:rsidTr="00EB5DE0">
        <w:trPr>
          <w:trHeight w:val="741"/>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B5DE0" w:rsidRPr="00EB5DE0" w:rsidRDefault="00EB5DE0">
            <w:pPr>
              <w:jc w:val="center"/>
              <w:rPr>
                <w:rFonts w:ascii="黑体" w:eastAsia="黑体" w:hAnsi="黑体" w:cs="Tahoma"/>
                <w:color w:val="000000"/>
                <w:sz w:val="21"/>
                <w:szCs w:val="21"/>
              </w:rPr>
            </w:pPr>
            <w:r w:rsidRPr="00EB5DE0">
              <w:rPr>
                <w:rFonts w:ascii="黑体" w:eastAsia="黑体" w:hAnsi="黑体" w:cs="Tahoma" w:hint="eastAsia"/>
                <w:color w:val="000000"/>
                <w:sz w:val="21"/>
                <w:szCs w:val="21"/>
              </w:rPr>
              <w:t>岗位名称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B5DE0" w:rsidRPr="00EB5DE0" w:rsidRDefault="00EB5DE0">
            <w:pPr>
              <w:jc w:val="center"/>
              <w:rPr>
                <w:rFonts w:ascii="黑体" w:eastAsia="黑体" w:hAnsi="黑体" w:cs="Tahoma"/>
                <w:color w:val="000000"/>
                <w:sz w:val="21"/>
                <w:szCs w:val="21"/>
              </w:rPr>
            </w:pPr>
            <w:r w:rsidRPr="00EB5DE0">
              <w:rPr>
                <w:rFonts w:ascii="黑体" w:eastAsia="黑体" w:hAnsi="黑体" w:cs="Tahoma" w:hint="eastAsia"/>
                <w:color w:val="000000"/>
                <w:sz w:val="21"/>
                <w:szCs w:val="21"/>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B5DE0" w:rsidRPr="00EB5DE0" w:rsidRDefault="00EB5DE0">
            <w:pPr>
              <w:jc w:val="center"/>
              <w:rPr>
                <w:rFonts w:ascii="黑体" w:eastAsia="黑体" w:hAnsi="黑体" w:cs="Tahoma"/>
                <w:color w:val="000000"/>
                <w:sz w:val="21"/>
                <w:szCs w:val="21"/>
              </w:rPr>
            </w:pPr>
            <w:r w:rsidRPr="00EB5DE0">
              <w:rPr>
                <w:rFonts w:ascii="黑体" w:eastAsia="黑体" w:hAnsi="黑体" w:cs="Tahoma" w:hint="eastAsia"/>
                <w:color w:val="000000"/>
                <w:sz w:val="21"/>
                <w:szCs w:val="21"/>
              </w:rPr>
              <w:t>人才类别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B5DE0" w:rsidRPr="00EB5DE0" w:rsidRDefault="00EB5DE0">
            <w:pPr>
              <w:jc w:val="center"/>
              <w:rPr>
                <w:rFonts w:ascii="黑体" w:eastAsia="黑体" w:hAnsi="黑体" w:cs="Tahoma"/>
                <w:color w:val="000000"/>
                <w:sz w:val="21"/>
                <w:szCs w:val="21"/>
              </w:rPr>
            </w:pPr>
            <w:r w:rsidRPr="00EB5DE0">
              <w:rPr>
                <w:rFonts w:ascii="黑体" w:eastAsia="黑体" w:hAnsi="黑体" w:cs="Tahoma" w:hint="eastAsia"/>
                <w:color w:val="000000"/>
                <w:sz w:val="21"/>
                <w:szCs w:val="21"/>
              </w:rPr>
              <w:t>任职条件</w:t>
            </w:r>
          </w:p>
        </w:tc>
      </w:tr>
      <w:tr w:rsidR="00EB5DE0" w:rsidRPr="00EB5DE0" w:rsidTr="00EB5DE0">
        <w:trPr>
          <w:trHeight w:val="197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北方特色浆果资源评价与利用科研骨干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rPr>
                <w:rFonts w:ascii="宋体" w:eastAsia="宋体" w:hAnsi="宋体" w:cs="宋体"/>
                <w:color w:val="000000"/>
                <w:sz w:val="18"/>
                <w:szCs w:val="18"/>
              </w:rPr>
            </w:pPr>
            <w:r w:rsidRPr="00EB5DE0">
              <w:rPr>
                <w:rFonts w:ascii="宋体" w:eastAsia="宋体" w:hAnsi="宋体" w:cs="宋体" w:hint="eastAsia"/>
                <w:color w:val="000000"/>
                <w:sz w:val="18"/>
                <w:szCs w:val="18"/>
              </w:rPr>
              <w:t>北方特色浆果资源评价与利用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B类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rPr>
                <w:rFonts w:ascii="宋体" w:eastAsia="宋体" w:hAnsi="宋体" w:cs="宋体"/>
                <w:color w:val="000000"/>
                <w:sz w:val="18"/>
                <w:szCs w:val="18"/>
              </w:rPr>
            </w:pPr>
            <w:r w:rsidRPr="00EB5DE0">
              <w:rPr>
                <w:rFonts w:ascii="宋体" w:eastAsia="宋体" w:hAnsi="宋体" w:cs="宋体" w:hint="eastAsia"/>
                <w:color w:val="000000"/>
                <w:sz w:val="18"/>
                <w:szCs w:val="18"/>
              </w:rPr>
              <w:t>1.主持国家自然科学基金项目2项、或主持省部级重大项目2项。2.获省部级科研成果奖二等奖以上（排名第一）、或国家自然科学、发明、科技进步等三大奖前五名获奖人。3.学术论文被SCI和EI收录10篇以上、或SCI论文影响因子累计20以上、或单篇SCI论文影响因子10以上，本人为第一作者或通讯作者。4.科研成果获国家发明专利5项以上、或新药证书1项以上、或审定植物品种5项以上、或审定动物品种1项以上，本人为第一完成人。</w:t>
            </w:r>
          </w:p>
        </w:tc>
      </w:tr>
      <w:tr w:rsidR="00EB5DE0" w:rsidRPr="00EB5DE0" w:rsidTr="00EB5DE0">
        <w:trPr>
          <w:trHeight w:val="141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特种动植物加工科研骨干</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特种动植物加工</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B类</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rPr>
                <w:rFonts w:ascii="宋体" w:eastAsia="宋体" w:hAnsi="宋体" w:cs="宋体"/>
                <w:color w:val="000000"/>
                <w:sz w:val="18"/>
                <w:szCs w:val="18"/>
              </w:rPr>
            </w:pPr>
            <w:r w:rsidRPr="00EB5DE0">
              <w:rPr>
                <w:rFonts w:ascii="宋体" w:eastAsia="宋体" w:hAnsi="宋体" w:cs="宋体" w:hint="eastAsia"/>
                <w:color w:val="000000"/>
                <w:sz w:val="18"/>
                <w:szCs w:val="18"/>
              </w:rPr>
              <w:t>主持国家级项目（课题），或国家级科学技术奖励主要完成人（一等奖2-7名，二等奖2-5名）、省部级科学技术奖励主要完成人（一等奖前5名，二等奖前3名，三等奖第1名），或至少以第一作者/通讯作者身份在本领域核心期刊上发表3篇以上高水平学术论文。</w:t>
            </w:r>
          </w:p>
        </w:tc>
      </w:tr>
      <w:tr w:rsidR="00EB5DE0" w:rsidRPr="00EB5DE0" w:rsidTr="00EB5DE0">
        <w:trPr>
          <w:trHeight w:val="12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特种动物疫病防控团队骨干</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rPr>
                <w:rFonts w:ascii="宋体" w:eastAsia="宋体" w:hAnsi="宋体" w:cs="宋体"/>
                <w:color w:val="000000"/>
                <w:sz w:val="18"/>
                <w:szCs w:val="18"/>
              </w:rPr>
            </w:pPr>
            <w:r w:rsidRPr="00EB5DE0">
              <w:rPr>
                <w:rFonts w:ascii="宋体" w:eastAsia="宋体" w:hAnsi="宋体" w:cs="宋体" w:hint="eastAsia"/>
                <w:color w:val="000000"/>
                <w:sz w:val="18"/>
                <w:szCs w:val="18"/>
              </w:rPr>
              <w:t>动物病毒性传染病研究</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rPr>
                <w:rFonts w:ascii="宋体" w:eastAsia="宋体" w:hAnsi="宋体" w:cs="宋体"/>
                <w:color w:val="000000"/>
                <w:sz w:val="18"/>
                <w:szCs w:val="18"/>
              </w:rPr>
            </w:pPr>
            <w:r w:rsidRPr="00EB5DE0">
              <w:rPr>
                <w:rFonts w:ascii="宋体" w:eastAsia="宋体" w:hAnsi="宋体" w:cs="宋体" w:hint="eastAsia"/>
                <w:color w:val="000000"/>
                <w:sz w:val="18"/>
                <w:szCs w:val="18"/>
              </w:rPr>
              <w:t>（1）以第一作者或通讯作者在本领域发表SCI和EI论文不少于5篇；或SCI论文累计影响因子不低于10，且有2篇影响因子不低于3.0或有1篇影响因子不低于5.0。（2）拥有2-3项发明专利，或掌握本领域关键技术。</w:t>
            </w:r>
          </w:p>
        </w:tc>
      </w:tr>
      <w:tr w:rsidR="00EB5DE0" w:rsidRPr="00EB5DE0" w:rsidTr="00EB5DE0">
        <w:trPr>
          <w:trHeight w:val="140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特种动物繁殖团队骨干</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both"/>
              <w:rPr>
                <w:rFonts w:ascii="宋体" w:eastAsia="宋体" w:hAnsi="宋体" w:cs="宋体"/>
                <w:color w:val="000000"/>
                <w:sz w:val="18"/>
                <w:szCs w:val="18"/>
              </w:rPr>
            </w:pPr>
            <w:r w:rsidRPr="00EB5DE0">
              <w:rPr>
                <w:rFonts w:ascii="宋体" w:eastAsia="宋体" w:hAnsi="宋体" w:cs="宋体" w:hint="eastAsia"/>
                <w:color w:val="000000"/>
                <w:sz w:val="18"/>
                <w:szCs w:val="18"/>
              </w:rPr>
              <w:t>特种动物繁殖</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both"/>
              <w:rPr>
                <w:rFonts w:ascii="宋体" w:eastAsia="宋体" w:hAnsi="宋体" w:cs="宋体"/>
                <w:color w:val="000000"/>
                <w:sz w:val="18"/>
                <w:szCs w:val="18"/>
              </w:rPr>
            </w:pPr>
            <w:r w:rsidRPr="00EB5DE0">
              <w:rPr>
                <w:rFonts w:ascii="宋体" w:eastAsia="宋体" w:hAnsi="宋体" w:cs="宋体" w:hint="eastAsia"/>
                <w:color w:val="000000"/>
                <w:sz w:val="18"/>
                <w:szCs w:val="18"/>
              </w:rPr>
              <w:t>在本学科领域开展了较为系统的研究工作，近五年以第一作者身份发表SCI、EI论文影响因子累计达到20以上。至少需要两封国内外相关相关领域专家推荐信。</w:t>
            </w:r>
          </w:p>
        </w:tc>
      </w:tr>
      <w:tr w:rsidR="00EB5DE0" w:rsidRPr="00EB5DE0" w:rsidTr="00EB5DE0">
        <w:trPr>
          <w:trHeight w:val="169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lastRenderedPageBreak/>
              <w:t>特种动物遗传资源育种团队骨干</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rPr>
                <w:rFonts w:ascii="宋体" w:eastAsia="宋体" w:hAnsi="宋体" w:cs="宋体"/>
                <w:color w:val="000000"/>
                <w:sz w:val="18"/>
                <w:szCs w:val="18"/>
              </w:rPr>
            </w:pPr>
            <w:r w:rsidRPr="00EB5DE0">
              <w:rPr>
                <w:rFonts w:ascii="宋体" w:eastAsia="宋体" w:hAnsi="宋体" w:cs="宋体" w:hint="eastAsia"/>
                <w:color w:val="000000"/>
                <w:sz w:val="18"/>
                <w:szCs w:val="18"/>
              </w:rPr>
              <w:t>特种动物育种研究</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center"/>
              <w:rPr>
                <w:rFonts w:ascii="宋体" w:eastAsia="宋体" w:hAnsi="宋体" w:cs="宋体"/>
                <w:color w:val="000000"/>
                <w:sz w:val="18"/>
                <w:szCs w:val="18"/>
              </w:rPr>
            </w:pPr>
            <w:r w:rsidRPr="00EB5DE0">
              <w:rPr>
                <w:rFonts w:ascii="宋体" w:eastAsia="宋体" w:hAnsi="宋体"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B5DE0" w:rsidRPr="00EB5DE0" w:rsidRDefault="00EB5DE0" w:rsidP="00EB5DE0">
            <w:pPr>
              <w:adjustRightInd/>
              <w:snapToGrid/>
              <w:spacing w:after="0"/>
              <w:jc w:val="both"/>
              <w:rPr>
                <w:rFonts w:ascii="宋体" w:eastAsia="宋体" w:hAnsi="宋体" w:cs="宋体"/>
                <w:color w:val="000000"/>
                <w:sz w:val="18"/>
                <w:szCs w:val="18"/>
              </w:rPr>
            </w:pPr>
            <w:r w:rsidRPr="00EB5DE0">
              <w:rPr>
                <w:rFonts w:ascii="宋体" w:eastAsia="宋体" w:hAnsi="宋体" w:cs="宋体" w:hint="eastAsia"/>
                <w:color w:val="000000"/>
                <w:sz w:val="18"/>
                <w:szCs w:val="18"/>
              </w:rPr>
              <w:t>作为主持人或主要参加人参与过国家或省部级科研基金项目,并同时符合下列条件中一项：（1）以第一作者或通讯作者在本领域发表SCI和EI论文不少于4篇；或SCI论文累计影响因子不低于10，且有2篇影响因子不低于3.0或有1篇影响因子不低于5.0。（2）拥有2-3项发明专利，或掌握本领域关键技术。</w:t>
            </w:r>
          </w:p>
        </w:tc>
      </w:tr>
    </w:tbl>
    <w:p w:rsidR="00EB5DE0" w:rsidRPr="00E61226" w:rsidRDefault="00EB5DE0" w:rsidP="00EB5DE0">
      <w:pPr>
        <w:shd w:val="clear" w:color="auto" w:fill="FFFFFF"/>
        <w:adjustRightInd/>
        <w:snapToGrid/>
        <w:spacing w:line="336" w:lineRule="atLeast"/>
        <w:rPr>
          <w:rFonts w:ascii="宋体" w:eastAsia="宋体" w:hAnsi="宋体" w:cs="宋体"/>
          <w:color w:val="1D1D1D"/>
          <w:sz w:val="17"/>
          <w:szCs w:val="17"/>
        </w:rPr>
      </w:pPr>
    </w:p>
    <w:p w:rsidR="00E61226" w:rsidRPr="00E61226" w:rsidRDefault="00E61226" w:rsidP="00E61226">
      <w:pPr>
        <w:shd w:val="clear" w:color="auto" w:fill="FFFFFF"/>
        <w:adjustRightInd/>
        <w:snapToGrid/>
        <w:spacing w:line="336" w:lineRule="atLeast"/>
        <w:rPr>
          <w:rFonts w:ascii="宋体" w:eastAsia="宋体" w:hAnsi="宋体" w:cs="宋体"/>
          <w:color w:val="1D1D1D"/>
          <w:sz w:val="17"/>
          <w:szCs w:val="17"/>
        </w:rPr>
      </w:pPr>
      <w:r w:rsidRPr="00E61226">
        <w:rPr>
          <w:rFonts w:ascii="宋体" w:eastAsia="宋体" w:hAnsi="宋体" w:cs="宋体" w:hint="eastAsia"/>
          <w:color w:val="1D1D1D"/>
          <w:sz w:val="17"/>
          <w:szCs w:val="17"/>
        </w:rPr>
        <w:t xml:space="preserve">　　三、聘期待遇和支持经费</w:t>
      </w:r>
      <w:r w:rsidRPr="00E61226">
        <w:rPr>
          <w:rFonts w:ascii="宋体" w:eastAsia="宋体" w:hAnsi="宋体" w:cs="宋体" w:hint="eastAsia"/>
          <w:color w:val="1D1D1D"/>
          <w:sz w:val="17"/>
          <w:szCs w:val="17"/>
        </w:rPr>
        <w:br/>
        <w:t xml:space="preserve">　　1、候选人享受特产所正式职工的工资、福利和医疗待遇；</w:t>
      </w:r>
      <w:r w:rsidRPr="00E61226">
        <w:rPr>
          <w:rFonts w:ascii="宋体" w:eastAsia="宋体" w:hAnsi="宋体" w:cs="宋体" w:hint="eastAsia"/>
          <w:color w:val="1D1D1D"/>
          <w:sz w:val="17"/>
          <w:szCs w:val="17"/>
        </w:rPr>
        <w:br/>
        <w:t xml:space="preserve">　　2、候选人在入选相应类别“青年英才”前提供100万元科研启动费；</w:t>
      </w:r>
      <w:r w:rsidRPr="00E61226">
        <w:rPr>
          <w:rFonts w:ascii="宋体" w:eastAsia="宋体" w:hAnsi="宋体" w:cs="宋体" w:hint="eastAsia"/>
          <w:color w:val="1D1D1D"/>
          <w:sz w:val="17"/>
          <w:szCs w:val="17"/>
        </w:rPr>
        <w:br/>
        <w:t xml:space="preserve">　　3、入选A、B类者提供200万元科研启动费和100万元仪器设备费，入选为引进的“国家杰青”提供300万元科研启动费和300万元仪器设备费。入选C类者提供100万元科研启动费；</w:t>
      </w:r>
      <w:r w:rsidRPr="00E61226">
        <w:rPr>
          <w:rFonts w:ascii="宋体" w:eastAsia="宋体" w:hAnsi="宋体" w:cs="宋体" w:hint="eastAsia"/>
          <w:color w:val="1D1D1D"/>
          <w:sz w:val="17"/>
          <w:szCs w:val="17"/>
        </w:rPr>
        <w:br/>
        <w:t xml:space="preserve">　　4、中国农科院将按照100平米住房标准为“青年英才计划”A、B、C类入选者提供安家费补助（根据长春市上一年度商品房销售均价折算，最高不超过100万元）；</w:t>
      </w:r>
      <w:r w:rsidRPr="00E61226">
        <w:rPr>
          <w:rFonts w:ascii="宋体" w:eastAsia="宋体" w:hAnsi="宋体" w:cs="宋体" w:hint="eastAsia"/>
          <w:color w:val="1D1D1D"/>
          <w:sz w:val="17"/>
          <w:szCs w:val="17"/>
        </w:rPr>
        <w:br/>
        <w:t xml:space="preserve">　　5、“青年英才计划”A、B、C类入选者在计划执行4年期间，可另享受10万元/年的岗位补助（引进的“国家杰青”20万元/年）。</w:t>
      </w:r>
      <w:r w:rsidRPr="00E61226">
        <w:rPr>
          <w:rFonts w:ascii="宋体" w:eastAsia="宋体" w:hAnsi="宋体" w:cs="宋体" w:hint="eastAsia"/>
          <w:color w:val="1D1D1D"/>
          <w:sz w:val="17"/>
          <w:szCs w:val="17"/>
        </w:rPr>
        <w:br/>
        <w:t xml:space="preserve">　　四、材料要求：</w:t>
      </w:r>
      <w:r w:rsidRPr="00E61226">
        <w:rPr>
          <w:rFonts w:ascii="宋体" w:eastAsia="宋体" w:hAnsi="宋体" w:cs="宋体" w:hint="eastAsia"/>
          <w:color w:val="1D1D1D"/>
          <w:sz w:val="17"/>
          <w:szCs w:val="17"/>
        </w:rPr>
        <w:br/>
        <w:t xml:space="preserve">　　1、《中国农业科学院</w:t>
      </w:r>
      <w:hyperlink r:id="rId11" w:tgtFrame="_blank" w:history="1">
        <w:r w:rsidRPr="00E61226">
          <w:rPr>
            <w:rFonts w:ascii="宋体" w:eastAsia="宋体" w:hAnsi="宋体" w:cs="宋体" w:hint="eastAsia"/>
            <w:color w:val="0000FF"/>
            <w:sz w:val="17"/>
            <w:szCs w:val="17"/>
          </w:rPr>
          <w:t>特产研究所</w:t>
        </w:r>
      </w:hyperlink>
      <w:r w:rsidRPr="00E61226">
        <w:rPr>
          <w:rFonts w:ascii="宋体" w:eastAsia="宋体" w:hAnsi="宋体" w:cs="宋体" w:hint="eastAsia"/>
          <w:color w:val="1D1D1D"/>
          <w:sz w:val="17"/>
          <w:szCs w:val="17"/>
        </w:rPr>
        <w:t>“青年英才计划”应聘申请表》</w:t>
      </w:r>
      <w:r w:rsidRPr="00E61226">
        <w:rPr>
          <w:rFonts w:ascii="宋体" w:eastAsia="宋体" w:hAnsi="宋体" w:cs="宋体" w:hint="eastAsia"/>
          <w:color w:val="1D1D1D"/>
          <w:sz w:val="17"/>
          <w:szCs w:val="17"/>
        </w:rPr>
        <w:br/>
        <w:t xml:space="preserve">　　2、申报A类人员提供海外3年以上科研工作证明；</w:t>
      </w:r>
      <w:r w:rsidRPr="00E61226">
        <w:rPr>
          <w:rFonts w:ascii="宋体" w:eastAsia="宋体" w:hAnsi="宋体" w:cs="宋体" w:hint="eastAsia"/>
          <w:color w:val="1D1D1D"/>
          <w:sz w:val="17"/>
          <w:szCs w:val="17"/>
        </w:rPr>
        <w:br/>
        <w:t xml:space="preserve">　　3、学历学位复印件，职称证书复印件；</w:t>
      </w:r>
      <w:r w:rsidRPr="00E61226">
        <w:rPr>
          <w:rFonts w:ascii="宋体" w:eastAsia="宋体" w:hAnsi="宋体" w:cs="宋体" w:hint="eastAsia"/>
          <w:color w:val="1D1D1D"/>
          <w:sz w:val="17"/>
          <w:szCs w:val="17"/>
        </w:rPr>
        <w:br/>
        <w:t xml:space="preserve">　　4、两位国内外相关领域专家的“推荐信”；</w:t>
      </w:r>
      <w:r w:rsidRPr="00E61226">
        <w:rPr>
          <w:rFonts w:ascii="宋体" w:eastAsia="宋体" w:hAnsi="宋体" w:cs="宋体" w:hint="eastAsia"/>
          <w:color w:val="1D1D1D"/>
          <w:sz w:val="17"/>
          <w:szCs w:val="17"/>
        </w:rPr>
        <w:br/>
        <w:t xml:space="preserve">　　5、发表SCI或外文论文等文章复印件；</w:t>
      </w:r>
      <w:r w:rsidRPr="00E61226">
        <w:rPr>
          <w:rFonts w:ascii="宋体" w:eastAsia="宋体" w:hAnsi="宋体" w:cs="宋体" w:hint="eastAsia"/>
          <w:color w:val="1D1D1D"/>
          <w:sz w:val="17"/>
          <w:szCs w:val="17"/>
        </w:rPr>
        <w:br/>
        <w:t xml:space="preserve">　　6、获奖证书及证明材料等。</w:t>
      </w:r>
      <w:r w:rsidRPr="00E61226">
        <w:rPr>
          <w:rFonts w:ascii="宋体" w:eastAsia="宋体" w:hAnsi="宋体" w:cs="宋体" w:hint="eastAsia"/>
          <w:color w:val="1D1D1D"/>
          <w:sz w:val="17"/>
          <w:szCs w:val="17"/>
        </w:rPr>
        <w:br/>
        <w:t xml:space="preserve">　　五、招聘程序：</w:t>
      </w:r>
      <w:r w:rsidRPr="00E61226">
        <w:rPr>
          <w:rFonts w:ascii="宋体" w:eastAsia="宋体" w:hAnsi="宋体" w:cs="宋体" w:hint="eastAsia"/>
          <w:color w:val="1D1D1D"/>
          <w:sz w:val="17"/>
          <w:szCs w:val="17"/>
        </w:rPr>
        <w:br/>
        <w:t xml:space="preserve">　　1、发布中国农业科学院</w:t>
      </w:r>
      <w:hyperlink r:id="rId12" w:tgtFrame="_blank" w:history="1">
        <w:r w:rsidRPr="00E61226">
          <w:rPr>
            <w:rFonts w:ascii="宋体" w:eastAsia="宋体" w:hAnsi="宋体" w:cs="宋体" w:hint="eastAsia"/>
            <w:color w:val="0000FF"/>
            <w:sz w:val="17"/>
            <w:szCs w:val="17"/>
          </w:rPr>
          <w:t>特产研究所</w:t>
        </w:r>
      </w:hyperlink>
      <w:r w:rsidRPr="00E61226">
        <w:rPr>
          <w:rFonts w:ascii="宋体" w:eastAsia="宋体" w:hAnsi="宋体" w:cs="宋体" w:hint="eastAsia"/>
          <w:color w:val="1D1D1D"/>
          <w:sz w:val="17"/>
          <w:szCs w:val="17"/>
        </w:rPr>
        <w:t>“青年英才计划”招聘信息；</w:t>
      </w:r>
      <w:r w:rsidRPr="00E61226">
        <w:rPr>
          <w:rFonts w:ascii="宋体" w:eastAsia="宋体" w:hAnsi="宋体" w:cs="宋体" w:hint="eastAsia"/>
          <w:color w:val="1D1D1D"/>
          <w:sz w:val="17"/>
          <w:szCs w:val="17"/>
        </w:rPr>
        <w:br/>
        <w:t xml:space="preserve">　　2、特产所“青年英才计划”管理专家组负责对应聘材料进行资格审查，通过资格审查者参加特产所组织的应聘答辩（时间另行通知）。特产所领导班子根据答辩情况，集体研究决定候选人员，候选人员名单在院、所网上公示；</w:t>
      </w:r>
      <w:r w:rsidRPr="00E61226">
        <w:rPr>
          <w:rFonts w:ascii="宋体" w:eastAsia="宋体" w:hAnsi="宋体" w:cs="宋体" w:hint="eastAsia"/>
          <w:color w:val="1D1D1D"/>
          <w:sz w:val="17"/>
          <w:szCs w:val="17"/>
        </w:rPr>
        <w:br/>
        <w:t xml:space="preserve">　　3、候选人通过特产所招聘评审后，到岗工作前将备案材料提交中国农业科学院人才工作领导小组办公室进行备案。</w:t>
      </w:r>
      <w:r w:rsidRPr="00E61226">
        <w:rPr>
          <w:rFonts w:ascii="宋体" w:eastAsia="宋体" w:hAnsi="宋体" w:cs="宋体" w:hint="eastAsia"/>
          <w:color w:val="1D1D1D"/>
          <w:sz w:val="17"/>
          <w:szCs w:val="17"/>
        </w:rPr>
        <w:br/>
        <w:t xml:space="preserve">　　4、通过中国农业科学院人才工作领导小组办公室的备案审核后，特产所将与候选人签订《中国农业科学院“青年英才计划”管理协议》，明确双方的责任和义务，包括工作目标、科研经费、研究助手、工作和生活条件等。</w:t>
      </w:r>
      <w:r w:rsidRPr="00E61226">
        <w:rPr>
          <w:rFonts w:ascii="宋体" w:eastAsia="宋体" w:hAnsi="宋体" w:cs="宋体" w:hint="eastAsia"/>
          <w:color w:val="1D1D1D"/>
          <w:sz w:val="17"/>
          <w:szCs w:val="17"/>
        </w:rPr>
        <w:br/>
        <w:t xml:space="preserve">　　5、已备案的候选人应在到岗工作1年后参加中国农业科学院统一组织的择优支持评审，填报《中国农业科学院“青年英才计划”择优支持申请表》，候选人共有2次申请机会，首次申请未通过者，可于1年后再次申请。</w:t>
      </w:r>
      <w:r w:rsidRPr="00E61226">
        <w:rPr>
          <w:rFonts w:ascii="宋体" w:eastAsia="宋体" w:hAnsi="宋体" w:cs="宋体" w:hint="eastAsia"/>
          <w:color w:val="1D1D1D"/>
          <w:sz w:val="17"/>
          <w:szCs w:val="17"/>
        </w:rPr>
        <w:br/>
        <w:t xml:space="preserve">　　6候选人通过择优支持评审并公示无异议后，报院人才工作领导小组审定，院里向审定通过者颁发“青年英才计划”入选证书，并提供相应支持。</w:t>
      </w:r>
      <w:r w:rsidRPr="00E61226">
        <w:rPr>
          <w:rFonts w:ascii="宋体" w:eastAsia="宋体" w:hAnsi="宋体" w:cs="宋体" w:hint="eastAsia"/>
          <w:color w:val="1D1D1D"/>
          <w:sz w:val="17"/>
          <w:szCs w:val="17"/>
        </w:rPr>
        <w:br/>
        <w:t xml:space="preserve">　　六、联系方式：</w:t>
      </w:r>
      <w:r w:rsidRPr="00E61226">
        <w:rPr>
          <w:rFonts w:ascii="宋体" w:eastAsia="宋体" w:hAnsi="宋体" w:cs="宋体" w:hint="eastAsia"/>
          <w:color w:val="1D1D1D"/>
          <w:sz w:val="17"/>
          <w:szCs w:val="17"/>
        </w:rPr>
        <w:br/>
      </w:r>
      <w:r w:rsidRPr="00E61226">
        <w:rPr>
          <w:rFonts w:ascii="宋体" w:eastAsia="宋体" w:hAnsi="宋体" w:cs="宋体" w:hint="eastAsia"/>
          <w:color w:val="1D1D1D"/>
          <w:sz w:val="17"/>
          <w:szCs w:val="17"/>
        </w:rPr>
        <w:lastRenderedPageBreak/>
        <w:t xml:space="preserve">　　联系电话：0431-81919876 </w:t>
      </w:r>
      <w:r w:rsidRPr="00E61226">
        <w:rPr>
          <w:rFonts w:ascii="宋体" w:eastAsia="宋体" w:hAnsi="宋体" w:cs="宋体" w:hint="eastAsia"/>
          <w:color w:val="1D1D1D"/>
          <w:sz w:val="17"/>
          <w:szCs w:val="17"/>
        </w:rPr>
        <w:br/>
        <w:t xml:space="preserve">　　联 系 人：秦俊吉</w:t>
      </w:r>
      <w:r w:rsidRPr="00E61226">
        <w:rPr>
          <w:rFonts w:ascii="宋体" w:eastAsia="宋体" w:hAnsi="宋体" w:cs="宋体" w:hint="eastAsia"/>
          <w:color w:val="1D1D1D"/>
          <w:sz w:val="17"/>
          <w:szCs w:val="17"/>
        </w:rPr>
        <w:br/>
        <w:t xml:space="preserve">　　Email:techansuoqjj@163.com</w:t>
      </w:r>
      <w:r w:rsidRPr="00E61226">
        <w:rPr>
          <w:rFonts w:ascii="宋体" w:eastAsia="宋体" w:hAnsi="宋体" w:cs="宋体" w:hint="eastAsia"/>
          <w:color w:val="1D1D1D"/>
          <w:sz w:val="17"/>
          <w:szCs w:val="17"/>
        </w:rPr>
        <w:br/>
        <w:t xml:space="preserve">　　通讯地址：吉林省长春市净月经济开发区聚业大街4899号</w:t>
      </w:r>
      <w:r w:rsidRPr="00E61226">
        <w:rPr>
          <w:rFonts w:ascii="宋体" w:eastAsia="宋体" w:hAnsi="宋体" w:cs="宋体" w:hint="eastAsia"/>
          <w:color w:val="1D1D1D"/>
          <w:sz w:val="17"/>
          <w:szCs w:val="17"/>
        </w:rPr>
        <w:br/>
        <w:t xml:space="preserve">　　中国农科院</w:t>
      </w:r>
      <w:hyperlink r:id="rId13" w:tgtFrame="_blank" w:history="1">
        <w:r w:rsidRPr="00E61226">
          <w:rPr>
            <w:rFonts w:ascii="宋体" w:eastAsia="宋体" w:hAnsi="宋体" w:cs="宋体" w:hint="eastAsia"/>
            <w:color w:val="0000FF"/>
            <w:sz w:val="17"/>
            <w:szCs w:val="17"/>
          </w:rPr>
          <w:t>特产研究所</w:t>
        </w:r>
      </w:hyperlink>
      <w:r w:rsidRPr="00E61226">
        <w:rPr>
          <w:rFonts w:ascii="宋体" w:eastAsia="宋体" w:hAnsi="宋体" w:cs="宋体" w:hint="eastAsia"/>
          <w:color w:val="1D1D1D"/>
          <w:sz w:val="17"/>
          <w:szCs w:val="17"/>
        </w:rPr>
        <w:t>人事处</w:t>
      </w:r>
      <w:r w:rsidRPr="00E61226">
        <w:rPr>
          <w:rFonts w:ascii="宋体" w:eastAsia="宋体" w:hAnsi="宋体" w:cs="宋体" w:hint="eastAsia"/>
          <w:color w:val="1D1D1D"/>
          <w:sz w:val="17"/>
          <w:szCs w:val="17"/>
        </w:rPr>
        <w:br/>
        <w:t xml:space="preserve">　　网址：</w:t>
      </w:r>
      <w:hyperlink r:id="rId14" w:history="1">
        <w:r w:rsidRPr="00E61226">
          <w:rPr>
            <w:rFonts w:ascii="宋体" w:eastAsia="宋体" w:hAnsi="宋体" w:cs="宋体" w:hint="eastAsia"/>
            <w:color w:val="0000FF"/>
            <w:sz w:val="17"/>
            <w:szCs w:val="17"/>
          </w:rPr>
          <w:t>http://www.caastcs.net/</w:t>
        </w:r>
      </w:hyperlink>
      <w:r w:rsidRPr="00E61226">
        <w:rPr>
          <w:rFonts w:ascii="宋体" w:eastAsia="宋体" w:hAnsi="宋体" w:cs="宋体" w:hint="eastAsia"/>
          <w:color w:val="1D1D1D"/>
          <w:sz w:val="17"/>
          <w:szCs w:val="17"/>
        </w:rPr>
        <w:br/>
        <w:t xml:space="preserve">　　邮编：130112</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FFC" w:rsidRDefault="001C1FFC" w:rsidP="00E61226">
      <w:pPr>
        <w:spacing w:after="0"/>
      </w:pPr>
      <w:r>
        <w:separator/>
      </w:r>
    </w:p>
  </w:endnote>
  <w:endnote w:type="continuationSeparator" w:id="0">
    <w:p w:rsidR="001C1FFC" w:rsidRDefault="001C1FFC" w:rsidP="00E6122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FFC" w:rsidRDefault="001C1FFC" w:rsidP="00E61226">
      <w:pPr>
        <w:spacing w:after="0"/>
      </w:pPr>
      <w:r>
        <w:separator/>
      </w:r>
    </w:p>
  </w:footnote>
  <w:footnote w:type="continuationSeparator" w:id="0">
    <w:p w:rsidR="001C1FFC" w:rsidRDefault="001C1FFC" w:rsidP="00E6122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10381"/>
    <w:rsid w:val="001C1FFC"/>
    <w:rsid w:val="00323B43"/>
    <w:rsid w:val="003D37D8"/>
    <w:rsid w:val="00426133"/>
    <w:rsid w:val="004358AB"/>
    <w:rsid w:val="008B7726"/>
    <w:rsid w:val="00D31D50"/>
    <w:rsid w:val="00E61226"/>
    <w:rsid w:val="00E6688E"/>
    <w:rsid w:val="00E96160"/>
    <w:rsid w:val="00EB5D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122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61226"/>
    <w:rPr>
      <w:rFonts w:ascii="Tahoma" w:hAnsi="Tahoma"/>
      <w:sz w:val="18"/>
      <w:szCs w:val="18"/>
    </w:rPr>
  </w:style>
  <w:style w:type="paragraph" w:styleId="a4">
    <w:name w:val="footer"/>
    <w:basedOn w:val="a"/>
    <w:link w:val="Char0"/>
    <w:uiPriority w:val="99"/>
    <w:semiHidden/>
    <w:unhideWhenUsed/>
    <w:rsid w:val="00E61226"/>
    <w:pPr>
      <w:tabs>
        <w:tab w:val="center" w:pos="4153"/>
        <w:tab w:val="right" w:pos="8306"/>
      </w:tabs>
    </w:pPr>
    <w:rPr>
      <w:sz w:val="18"/>
      <w:szCs w:val="18"/>
    </w:rPr>
  </w:style>
  <w:style w:type="character" w:customStyle="1" w:styleId="Char0">
    <w:name w:val="页脚 Char"/>
    <w:basedOn w:val="a0"/>
    <w:link w:val="a4"/>
    <w:uiPriority w:val="99"/>
    <w:semiHidden/>
    <w:rsid w:val="00E61226"/>
    <w:rPr>
      <w:rFonts w:ascii="Tahoma" w:hAnsi="Tahoma"/>
      <w:sz w:val="18"/>
      <w:szCs w:val="18"/>
    </w:rPr>
  </w:style>
  <w:style w:type="paragraph" w:styleId="a5">
    <w:name w:val="Normal (Web)"/>
    <w:basedOn w:val="a"/>
    <w:uiPriority w:val="99"/>
    <w:unhideWhenUsed/>
    <w:rsid w:val="00E6122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8905386">
      <w:bodyDiv w:val="1"/>
      <w:marLeft w:val="0"/>
      <w:marRight w:val="0"/>
      <w:marTop w:val="0"/>
      <w:marBottom w:val="0"/>
      <w:divBdr>
        <w:top w:val="none" w:sz="0" w:space="0" w:color="auto"/>
        <w:left w:val="none" w:sz="0" w:space="0" w:color="auto"/>
        <w:bottom w:val="none" w:sz="0" w:space="0" w:color="auto"/>
        <w:right w:val="none" w:sz="0" w:space="0" w:color="auto"/>
      </w:divBdr>
    </w:div>
    <w:div w:id="436297710">
      <w:bodyDiv w:val="1"/>
      <w:marLeft w:val="0"/>
      <w:marRight w:val="0"/>
      <w:marTop w:val="0"/>
      <w:marBottom w:val="0"/>
      <w:divBdr>
        <w:top w:val="none" w:sz="0" w:space="0" w:color="auto"/>
        <w:left w:val="none" w:sz="0" w:space="0" w:color="auto"/>
        <w:bottom w:val="none" w:sz="0" w:space="0" w:color="auto"/>
        <w:right w:val="none" w:sz="0" w:space="0" w:color="auto"/>
      </w:divBdr>
      <w:divsChild>
        <w:div w:id="1654486051">
          <w:marLeft w:val="0"/>
          <w:marRight w:val="0"/>
          <w:marTop w:val="0"/>
          <w:marBottom w:val="0"/>
          <w:divBdr>
            <w:top w:val="none" w:sz="0" w:space="0" w:color="auto"/>
            <w:left w:val="none" w:sz="0" w:space="0" w:color="auto"/>
            <w:bottom w:val="none" w:sz="0" w:space="0" w:color="auto"/>
            <w:right w:val="none" w:sz="0" w:space="0" w:color="auto"/>
          </w:divBdr>
          <w:divsChild>
            <w:div w:id="1630358703">
              <w:marLeft w:val="0"/>
              <w:marRight w:val="0"/>
              <w:marTop w:val="0"/>
              <w:marBottom w:val="0"/>
              <w:divBdr>
                <w:top w:val="none" w:sz="0" w:space="0" w:color="auto"/>
                <w:left w:val="none" w:sz="0" w:space="0" w:color="auto"/>
                <w:bottom w:val="none" w:sz="0" w:space="0" w:color="auto"/>
                <w:right w:val="none" w:sz="0" w:space="0" w:color="auto"/>
              </w:divBdr>
              <w:divsChild>
                <w:div w:id="730422991">
                  <w:marLeft w:val="0"/>
                  <w:marRight w:val="0"/>
                  <w:marTop w:val="0"/>
                  <w:marBottom w:val="0"/>
                  <w:divBdr>
                    <w:top w:val="none" w:sz="0" w:space="0" w:color="auto"/>
                    <w:left w:val="none" w:sz="0" w:space="0" w:color="auto"/>
                    <w:bottom w:val="none" w:sz="0" w:space="0" w:color="auto"/>
                    <w:right w:val="none" w:sz="0" w:space="0" w:color="auto"/>
                  </w:divBdr>
                  <w:divsChild>
                    <w:div w:id="1915773883">
                      <w:marLeft w:val="0"/>
                      <w:marRight w:val="0"/>
                      <w:marTop w:val="0"/>
                      <w:marBottom w:val="0"/>
                      <w:divBdr>
                        <w:top w:val="none" w:sz="0" w:space="0" w:color="auto"/>
                        <w:left w:val="none" w:sz="0" w:space="0" w:color="auto"/>
                        <w:bottom w:val="none" w:sz="0" w:space="0" w:color="auto"/>
                        <w:right w:val="none" w:sz="0" w:space="0" w:color="auto"/>
                      </w:divBdr>
                      <w:divsChild>
                        <w:div w:id="985089699">
                          <w:marLeft w:val="120"/>
                          <w:marRight w:val="0"/>
                          <w:marTop w:val="120"/>
                          <w:marBottom w:val="0"/>
                          <w:divBdr>
                            <w:top w:val="none" w:sz="0" w:space="0" w:color="auto"/>
                            <w:left w:val="none" w:sz="0" w:space="0" w:color="auto"/>
                            <w:bottom w:val="none" w:sz="0" w:space="0" w:color="auto"/>
                            <w:right w:val="none" w:sz="0" w:space="0" w:color="auto"/>
                          </w:divBdr>
                        </w:div>
                        <w:div w:id="2011790004">
                          <w:marLeft w:val="0"/>
                          <w:marRight w:val="0"/>
                          <w:marTop w:val="0"/>
                          <w:marBottom w:val="0"/>
                          <w:divBdr>
                            <w:top w:val="none" w:sz="0" w:space="0" w:color="auto"/>
                            <w:left w:val="none" w:sz="0" w:space="0" w:color="auto"/>
                            <w:bottom w:val="none" w:sz="0" w:space="0" w:color="auto"/>
                            <w:right w:val="none" w:sz="0" w:space="0" w:color="auto"/>
                          </w:divBdr>
                          <w:divsChild>
                            <w:div w:id="1885291725">
                              <w:marLeft w:val="120"/>
                              <w:marRight w:val="0"/>
                              <w:marTop w:val="0"/>
                              <w:marBottom w:val="0"/>
                              <w:divBdr>
                                <w:top w:val="none" w:sz="0" w:space="0" w:color="auto"/>
                                <w:left w:val="none" w:sz="0" w:space="0" w:color="auto"/>
                                <w:bottom w:val="none" w:sz="0" w:space="0" w:color="auto"/>
                                <w:right w:val="none" w:sz="0" w:space="0" w:color="auto"/>
                              </w:divBdr>
                              <w:divsChild>
                                <w:div w:id="1954626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net.cn/kjcxgczl/rcjs/237595.shtml" TargetMode="External"/><Relationship Id="rId13" Type="http://schemas.openxmlformats.org/officeDocument/2006/relationships/hyperlink" Target="http://www.caas.cn/jg/yzgsw/53847.shtml" TargetMode="External"/><Relationship Id="rId3" Type="http://schemas.openxmlformats.org/officeDocument/2006/relationships/webSettings" Target="webSettings.xml"/><Relationship Id="rId7" Type="http://schemas.openxmlformats.org/officeDocument/2006/relationships/hyperlink" Target="http://www.caas.net.cn/kjcxgczl/rcjs/237595.shtml" TargetMode="External"/><Relationship Id="rId12" Type="http://schemas.openxmlformats.org/officeDocument/2006/relationships/hyperlink" Target="http://www.caas.cn/jg/yzgsw/53847.s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aas.net.cn/kjcxgczl/rcjs/237595.shtml" TargetMode="External"/><Relationship Id="rId11" Type="http://schemas.openxmlformats.org/officeDocument/2006/relationships/hyperlink" Target="http://www.caas.cn/jg/yzgsw/53847.shtm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caas.cn/jg/yzgsw/53847.shtml" TargetMode="External"/><Relationship Id="rId4" Type="http://schemas.openxmlformats.org/officeDocument/2006/relationships/footnotes" Target="footnotes.xml"/><Relationship Id="rId9" Type="http://schemas.openxmlformats.org/officeDocument/2006/relationships/hyperlink" Target="http://www.caas.cn/jg/yzgsw/53847.shtml" TargetMode="External"/><Relationship Id="rId14" Type="http://schemas.openxmlformats.org/officeDocument/2006/relationships/hyperlink" Target="http://www.caastc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3</cp:revision>
  <dcterms:created xsi:type="dcterms:W3CDTF">2008-09-11T17:20:00Z</dcterms:created>
  <dcterms:modified xsi:type="dcterms:W3CDTF">2015-04-16T09:40:00Z</dcterms:modified>
</cp:coreProperties>
</file>